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高等学校科学研究优秀成果奖</w:t>
      </w:r>
    </w:p>
    <w:p>
      <w:pPr>
        <w:spacing w:line="560" w:lineRule="exact"/>
        <w:jc w:val="center"/>
        <w:rPr>
          <w:rFonts w:ascii="黑体" w:hAnsi="黑体" w:eastAsia="黑体"/>
          <w:sz w:val="44"/>
          <w:szCs w:val="36"/>
        </w:rPr>
      </w:pPr>
      <w:r>
        <w:rPr>
          <w:rFonts w:hint="eastAsia" w:ascii="黑体" w:hAnsi="黑体" w:eastAsia="黑体"/>
          <w:sz w:val="44"/>
        </w:rPr>
        <w:t>（科学技术进步奖）</w:t>
      </w:r>
      <w:r>
        <w:rPr>
          <w:rFonts w:ascii="黑体" w:hAnsi="黑体" w:eastAsia="黑体"/>
          <w:sz w:val="44"/>
          <w:szCs w:val="36"/>
        </w:rPr>
        <w:t>提名项目公示</w:t>
      </w:r>
    </w:p>
    <w:p>
      <w:pPr>
        <w:spacing w:line="56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1</w:t>
      </w:r>
      <w:r>
        <w:rPr>
          <w:rFonts w:ascii="宋体" w:hAnsi="宋体"/>
          <w:b/>
          <w:bCs/>
          <w:sz w:val="24"/>
        </w:rPr>
        <w:t>.</w:t>
      </w:r>
      <w:r>
        <w:rPr>
          <w:rFonts w:hint="eastAsia" w:ascii="宋体" w:hAnsi="宋体"/>
          <w:b/>
          <w:bCs/>
          <w:sz w:val="24"/>
        </w:rPr>
        <w:t>项目名称</w:t>
      </w:r>
    </w:p>
    <w:p>
      <w:pPr>
        <w:spacing w:line="5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股骨头坏死修复关键技术的研究</w:t>
      </w:r>
    </w:p>
    <w:p>
      <w:pPr>
        <w:spacing w:line="56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2</w:t>
      </w:r>
      <w:r>
        <w:rPr>
          <w:rFonts w:ascii="宋体" w:hAnsi="宋体"/>
          <w:b/>
          <w:bCs/>
          <w:sz w:val="24"/>
        </w:rPr>
        <w:t>.</w:t>
      </w:r>
      <w:r>
        <w:rPr>
          <w:rFonts w:hint="eastAsia" w:ascii="宋体" w:hAnsi="宋体"/>
          <w:b/>
          <w:bCs/>
          <w:sz w:val="24"/>
        </w:rPr>
        <w:t>项目简介</w:t>
      </w:r>
    </w:p>
    <w:p>
      <w:pPr>
        <w:spacing w:line="5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项目属于</w:t>
      </w:r>
      <w:r>
        <w:rPr>
          <w:rFonts w:hint="eastAsia"/>
          <w:sz w:val="24"/>
          <w:lang w:eastAsia="zh-CN"/>
        </w:rPr>
        <w:t>医学</w:t>
      </w:r>
      <w:r>
        <w:rPr>
          <w:rFonts w:hint="eastAsia"/>
          <w:sz w:val="24"/>
        </w:rPr>
        <w:t>技术领域。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股骨头坏死（</w:t>
      </w:r>
      <w:r>
        <w:rPr>
          <w:rFonts w:hint="default"/>
          <w:sz w:val="24"/>
          <w:lang w:val="en-US" w:eastAsia="zh-CN"/>
        </w:rPr>
        <w:t>Osteonecrosis of the head,ONFH</w:t>
      </w:r>
      <w:r>
        <w:rPr>
          <w:rFonts w:hint="eastAsia"/>
          <w:sz w:val="24"/>
          <w:lang w:val="en-US" w:eastAsia="zh-CN"/>
        </w:rPr>
        <w:t xml:space="preserve">）分为创伤性和非创伤性两大 类，后者股骨头主要由糖皮质激素、长期大量酗酒及血液功能异常引起。该病致残率高，我国 </w:t>
      </w:r>
      <w:r>
        <w:rPr>
          <w:rFonts w:hint="default"/>
          <w:sz w:val="24"/>
          <w:lang w:val="en-US" w:eastAsia="zh-CN"/>
        </w:rPr>
        <w:t xml:space="preserve">ONFH </w:t>
      </w:r>
      <w:r>
        <w:rPr>
          <w:rFonts w:hint="eastAsia"/>
          <w:sz w:val="24"/>
          <w:lang w:val="en-US" w:eastAsia="zh-CN"/>
        </w:rPr>
        <w:t xml:space="preserve">每年新发病例在 </w:t>
      </w:r>
      <w:r>
        <w:rPr>
          <w:rFonts w:hint="default"/>
          <w:sz w:val="24"/>
          <w:lang w:val="en-US" w:eastAsia="zh-CN"/>
        </w:rPr>
        <w:t xml:space="preserve">15~20 </w:t>
      </w:r>
      <w:r>
        <w:rPr>
          <w:rFonts w:hint="eastAsia"/>
          <w:sz w:val="24"/>
          <w:lang w:val="en-US" w:eastAsia="zh-CN"/>
        </w:rPr>
        <w:t xml:space="preserve">万之间，累积需治疗的病例在 </w:t>
      </w:r>
      <w:r>
        <w:rPr>
          <w:rFonts w:hint="default"/>
          <w:sz w:val="24"/>
          <w:lang w:val="en-US" w:eastAsia="zh-CN"/>
        </w:rPr>
        <w:t xml:space="preserve">500~750 </w:t>
      </w:r>
      <w:r>
        <w:rPr>
          <w:rFonts w:hint="eastAsia"/>
          <w:sz w:val="24"/>
          <w:lang w:val="en-US" w:eastAsia="zh-CN"/>
        </w:rPr>
        <w:t>万之间。目前，</w:t>
      </w:r>
      <w:r>
        <w:rPr>
          <w:rFonts w:hint="default"/>
          <w:sz w:val="24"/>
          <w:lang w:val="en-US" w:eastAsia="zh-CN"/>
        </w:rPr>
        <w:t xml:space="preserve">ONFH </w:t>
      </w:r>
      <w:r>
        <w:rPr>
          <w:rFonts w:hint="eastAsia"/>
          <w:sz w:val="24"/>
          <w:lang w:val="en-US" w:eastAsia="zh-CN"/>
        </w:rPr>
        <w:t>早期病例采取保守治疗，如：中药活血化瘀、 降脂药、高压氧、血液净化、介入、核磁冲击波治疗等。手术则行钻孔减压术、 截骨术、骨移植术，晚期病例行人工髋关节置换术。但是这些临床治疗的药物、 手术花费很大，远期疗效不能肯定，且有很多并发症，而且增加患者家庭经济负担，引发一系列社会问题，目前尚无有效治疗方法。项目组在国内首次对应用骨形态生长蛋白</w:t>
      </w:r>
      <w:r>
        <w:rPr>
          <w:rFonts w:hint="default"/>
          <w:sz w:val="24"/>
          <w:lang w:val="en-US" w:eastAsia="zh-CN"/>
        </w:rPr>
        <w:t>-2</w:t>
      </w:r>
      <w:r>
        <w:rPr>
          <w:rFonts w:hint="eastAsia"/>
          <w:sz w:val="24"/>
          <w:lang w:val="en-US" w:eastAsia="zh-CN"/>
        </w:rPr>
        <w:t>（</w:t>
      </w:r>
      <w:r>
        <w:rPr>
          <w:rFonts w:hint="default"/>
          <w:sz w:val="24"/>
          <w:lang w:val="en-US" w:eastAsia="zh-CN"/>
        </w:rPr>
        <w:t>Bone morphogrowth protein,BMP-2</w:t>
      </w:r>
      <w:r>
        <w:rPr>
          <w:rFonts w:hint="eastAsia"/>
          <w:sz w:val="24"/>
          <w:lang w:val="en-US" w:eastAsia="zh-CN"/>
        </w:rPr>
        <w:t>）转染骨髓间充质干细胞（</w:t>
      </w:r>
      <w:r>
        <w:rPr>
          <w:rFonts w:hint="default"/>
          <w:sz w:val="24"/>
          <w:lang w:val="en-US" w:eastAsia="zh-CN"/>
        </w:rPr>
        <w:t>Bone mesenchymal stem cells,BMSCs</w:t>
      </w:r>
      <w:r>
        <w:rPr>
          <w:rFonts w:hint="eastAsia"/>
          <w:sz w:val="24"/>
          <w:lang w:val="en-US" w:eastAsia="zh-CN"/>
        </w:rPr>
        <w:t xml:space="preserve">）联合显微血供重建修复 </w:t>
      </w:r>
      <w:r>
        <w:rPr>
          <w:rFonts w:hint="default"/>
          <w:sz w:val="24"/>
          <w:lang w:val="en-US" w:eastAsia="zh-CN"/>
        </w:rPr>
        <w:t xml:space="preserve">ONFH </w:t>
      </w:r>
      <w:r>
        <w:rPr>
          <w:rFonts w:hint="eastAsia"/>
          <w:sz w:val="24"/>
          <w:lang w:val="en-US" w:eastAsia="zh-CN"/>
        </w:rPr>
        <w:t xml:space="preserve">进行了研究，本研究通过细胞培养、基因转染和制备股骨头坏死动物模型，应用 </w:t>
      </w:r>
      <w:r>
        <w:rPr>
          <w:rFonts w:hint="default"/>
          <w:sz w:val="24"/>
          <w:lang w:val="en-US" w:eastAsia="zh-CN"/>
        </w:rPr>
        <w:t xml:space="preserve">BMP-2 </w:t>
      </w:r>
      <w:r>
        <w:rPr>
          <w:rFonts w:hint="eastAsia"/>
          <w:sz w:val="24"/>
          <w:lang w:val="en-US" w:eastAsia="zh-CN"/>
        </w:rPr>
        <w:t xml:space="preserve">转染自体 </w:t>
      </w:r>
      <w:r>
        <w:rPr>
          <w:rFonts w:hint="default"/>
          <w:sz w:val="24"/>
          <w:lang w:val="en-US" w:eastAsia="zh-CN"/>
        </w:rPr>
        <w:t>BMSCs</w:t>
      </w:r>
      <w:r>
        <w:rPr>
          <w:rFonts w:hint="eastAsia"/>
          <w:sz w:val="24"/>
          <w:lang w:val="en-US" w:eastAsia="zh-CN"/>
        </w:rPr>
        <w:t xml:space="preserve">，再将该细胞移植入兔 </w:t>
      </w:r>
      <w:r>
        <w:rPr>
          <w:rFonts w:hint="default"/>
          <w:sz w:val="24"/>
          <w:lang w:val="en-US" w:eastAsia="zh-CN"/>
        </w:rPr>
        <w:t xml:space="preserve">ONFH </w:t>
      </w:r>
      <w:r>
        <w:rPr>
          <w:rFonts w:hint="eastAsia"/>
          <w:sz w:val="24"/>
          <w:lang w:val="en-US" w:eastAsia="zh-CN"/>
        </w:rPr>
        <w:t xml:space="preserve">模型，但早期 </w:t>
      </w:r>
      <w:r>
        <w:rPr>
          <w:rFonts w:hint="default"/>
          <w:sz w:val="24"/>
          <w:lang w:val="en-US" w:eastAsia="zh-CN"/>
        </w:rPr>
        <w:t xml:space="preserve">BMP-2 </w:t>
      </w:r>
      <w:r>
        <w:rPr>
          <w:rFonts w:hint="eastAsia"/>
          <w:sz w:val="24"/>
          <w:lang w:val="en-US" w:eastAsia="zh-CN"/>
        </w:rPr>
        <w:t xml:space="preserve">诱导的血管化进程是不充分的。因此，我们又采用带血管蒂的骨膜或血管束植入与 </w:t>
      </w:r>
      <w:r>
        <w:rPr>
          <w:rFonts w:hint="default"/>
          <w:sz w:val="24"/>
          <w:lang w:val="en-US" w:eastAsia="zh-CN"/>
        </w:rPr>
        <w:t xml:space="preserve">BMP-2 </w:t>
      </w:r>
      <w:r>
        <w:rPr>
          <w:rFonts w:hint="eastAsia"/>
          <w:sz w:val="24"/>
          <w:lang w:val="en-US" w:eastAsia="zh-CN"/>
        </w:rPr>
        <w:t xml:space="preserve">基因治疗的组织工程骨联合移植来修复股骨头坏死，结果显示在成骨速率、成骨质量及力学强度等各方面，额外增加血运加速了骨修复与重建，早期在移植骨内重建血管网络，与已经存在的 </w:t>
      </w:r>
      <w:r>
        <w:rPr>
          <w:rFonts w:hint="default"/>
          <w:sz w:val="24"/>
          <w:lang w:val="en-US" w:eastAsia="zh-CN"/>
        </w:rPr>
        <w:t xml:space="preserve">BMP-2 </w:t>
      </w:r>
      <w:r>
        <w:rPr>
          <w:rFonts w:hint="eastAsia"/>
          <w:sz w:val="24"/>
          <w:lang w:val="en-US" w:eastAsia="zh-CN"/>
        </w:rPr>
        <w:t>产生协同增强效应，共同促进新骨形成。经过多年的研究，本研究课题取得了两项重大的科学突破：（</w:t>
      </w:r>
      <w:r>
        <w:rPr>
          <w:rFonts w:hint="default"/>
          <w:sz w:val="24"/>
          <w:lang w:val="en-US" w:eastAsia="zh-CN"/>
        </w:rPr>
        <w:t>1</w:t>
      </w:r>
      <w:r>
        <w:rPr>
          <w:rFonts w:hint="eastAsia"/>
          <w:sz w:val="24"/>
          <w:lang w:val="en-US" w:eastAsia="zh-CN"/>
        </w:rPr>
        <w:t xml:space="preserve">）利用骨髓基质干细胞作为运载 </w:t>
      </w:r>
      <w:r>
        <w:rPr>
          <w:rFonts w:hint="default"/>
          <w:sz w:val="24"/>
          <w:lang w:val="en-US" w:eastAsia="zh-CN"/>
        </w:rPr>
        <w:t xml:space="preserve">BMP-2 </w:t>
      </w:r>
      <w:r>
        <w:rPr>
          <w:rFonts w:hint="eastAsia"/>
          <w:sz w:val="24"/>
          <w:lang w:val="en-US" w:eastAsia="zh-CN"/>
        </w:rPr>
        <w:t xml:space="preserve">的工具，通过软骨化骨的方式诱导成骨。转基因细胞分泌的 </w:t>
      </w:r>
      <w:r>
        <w:rPr>
          <w:rFonts w:hint="default"/>
          <w:sz w:val="24"/>
          <w:lang w:val="en-US" w:eastAsia="zh-CN"/>
        </w:rPr>
        <w:t xml:space="preserve">BMP-2 </w:t>
      </w:r>
      <w:r>
        <w:rPr>
          <w:rFonts w:hint="eastAsia"/>
          <w:sz w:val="24"/>
          <w:lang w:val="en-US" w:eastAsia="zh-CN"/>
        </w:rPr>
        <w:t>在一定程度上可以促进移植骨的血管化及骨的再生。（</w:t>
      </w:r>
      <w:r>
        <w:rPr>
          <w:rFonts w:hint="default"/>
          <w:sz w:val="24"/>
          <w:lang w:val="en-US" w:eastAsia="zh-CN"/>
        </w:rPr>
        <w:t>2</w:t>
      </w:r>
      <w:r>
        <w:rPr>
          <w:rFonts w:hint="eastAsia"/>
          <w:sz w:val="24"/>
          <w:lang w:val="en-US" w:eastAsia="zh-CN"/>
        </w:rPr>
        <w:t>）带血管蒂骨膜与</w:t>
      </w:r>
      <w:r>
        <w:rPr>
          <w:rFonts w:hint="default"/>
          <w:sz w:val="24"/>
          <w:lang w:val="en-US" w:eastAsia="zh-CN"/>
        </w:rPr>
        <w:t xml:space="preserve">BMP-2 </w:t>
      </w:r>
      <w:r>
        <w:rPr>
          <w:rFonts w:hint="eastAsia"/>
          <w:sz w:val="24"/>
          <w:lang w:val="en-US" w:eastAsia="zh-CN"/>
        </w:rPr>
        <w:t xml:space="preserve">基因治疗的组织工程骨联合移植，既提供了血供又提供了骨膜成骨细胞，其对骨缺损的修复机制同时包括了骨膜的的膜内化骨及 </w:t>
      </w:r>
      <w:r>
        <w:rPr>
          <w:rFonts w:hint="default"/>
          <w:sz w:val="24"/>
          <w:lang w:val="en-US" w:eastAsia="zh-CN"/>
        </w:rPr>
        <w:t xml:space="preserve">BMP-2 </w:t>
      </w:r>
      <w:r>
        <w:rPr>
          <w:rFonts w:hint="eastAsia"/>
          <w:sz w:val="24"/>
          <w:lang w:val="en-US" w:eastAsia="zh-CN"/>
        </w:rPr>
        <w:t xml:space="preserve">诱导的软骨内成骨两种方式，是治疗股骨头坏死的理想方法，为临床 </w:t>
      </w:r>
      <w:r>
        <w:rPr>
          <w:rFonts w:hint="default"/>
          <w:sz w:val="24"/>
          <w:lang w:val="en-US" w:eastAsia="zh-CN"/>
        </w:rPr>
        <w:t xml:space="preserve">ONFH </w:t>
      </w:r>
      <w:r>
        <w:rPr>
          <w:rFonts w:hint="eastAsia"/>
          <w:sz w:val="24"/>
          <w:lang w:val="en-US" w:eastAsia="zh-CN"/>
        </w:rPr>
        <w:t xml:space="preserve">的基因治疗的应用提供理论依据。 </w:t>
      </w:r>
    </w:p>
    <w:p>
      <w:pPr>
        <w:spacing w:line="560" w:lineRule="exact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本研究针对股骨头坏死病例机制进行干预，</w:t>
      </w:r>
      <w:r>
        <w:rPr>
          <w:rFonts w:hint="eastAsia"/>
          <w:sz w:val="24"/>
        </w:rPr>
        <w:t>围绕</w:t>
      </w:r>
      <w:r>
        <w:rPr>
          <w:rFonts w:hint="eastAsia"/>
          <w:sz w:val="24"/>
          <w:lang w:eastAsia="zh-CN"/>
        </w:rPr>
        <w:t>股骨头坏死的机制</w:t>
      </w:r>
      <w:r>
        <w:rPr>
          <w:rFonts w:hint="eastAsia"/>
          <w:sz w:val="24"/>
        </w:rPr>
        <w:t>与</w:t>
      </w:r>
      <w:r>
        <w:rPr>
          <w:rFonts w:hint="eastAsia"/>
          <w:sz w:val="24"/>
          <w:lang w:eastAsia="zh-CN"/>
        </w:rPr>
        <w:t>修复及显微血供重建</w:t>
      </w:r>
      <w:r>
        <w:rPr>
          <w:rFonts w:hint="eastAsia"/>
          <w:sz w:val="24"/>
        </w:rPr>
        <w:t>机理等关键科学问题进行研究，构建了</w:t>
      </w:r>
      <w:r>
        <w:rPr>
          <w:rFonts w:hint="eastAsia"/>
          <w:sz w:val="24"/>
          <w:lang w:eastAsia="zh-CN"/>
        </w:rPr>
        <w:t>股骨头坏死的机制</w:t>
      </w:r>
      <w:r>
        <w:rPr>
          <w:rFonts w:hint="eastAsia"/>
          <w:sz w:val="24"/>
        </w:rPr>
        <w:t>与</w:t>
      </w:r>
      <w:r>
        <w:rPr>
          <w:rFonts w:hint="eastAsia"/>
          <w:sz w:val="24"/>
          <w:lang w:eastAsia="zh-CN"/>
        </w:rPr>
        <w:t>修复及显微血供重建</w:t>
      </w:r>
      <w:r>
        <w:rPr>
          <w:rFonts w:hint="eastAsia"/>
          <w:sz w:val="24"/>
        </w:rPr>
        <w:t>机理理论体系，研发了以</w:t>
      </w:r>
      <w:r>
        <w:rPr>
          <w:rFonts w:hint="eastAsia"/>
          <w:sz w:val="24"/>
          <w:lang w:eastAsia="zh-CN"/>
        </w:rPr>
        <w:t>股骨头内支撑</w:t>
      </w:r>
      <w:r>
        <w:rPr>
          <w:rFonts w:hint="eastAsia"/>
          <w:sz w:val="24"/>
        </w:rPr>
        <w:t>为核心的</w:t>
      </w:r>
      <w:r>
        <w:rPr>
          <w:rFonts w:hint="eastAsia"/>
          <w:sz w:val="24"/>
          <w:lang w:eastAsia="zh-CN"/>
        </w:rPr>
        <w:t>早期显微血供重建的</w:t>
      </w:r>
      <w:r>
        <w:rPr>
          <w:rFonts w:hint="eastAsia"/>
          <w:sz w:val="24"/>
        </w:rPr>
        <w:t>协同保障技术，解决了</w:t>
      </w:r>
      <w:r>
        <w:rPr>
          <w:rFonts w:hint="eastAsia"/>
          <w:sz w:val="24"/>
          <w:lang w:eastAsia="zh-CN"/>
        </w:rPr>
        <w:t>股骨头坏死早期</w:t>
      </w:r>
      <w:r>
        <w:rPr>
          <w:rFonts w:hint="eastAsia"/>
          <w:sz w:val="24"/>
        </w:rPr>
        <w:t>支护方式</w:t>
      </w:r>
      <w:r>
        <w:rPr>
          <w:rFonts w:hint="eastAsia"/>
          <w:sz w:val="24"/>
          <w:lang w:eastAsia="zh-CN"/>
        </w:rPr>
        <w:t>缺乏</w:t>
      </w:r>
      <w:r>
        <w:rPr>
          <w:rFonts w:hint="eastAsia"/>
          <w:sz w:val="24"/>
        </w:rPr>
        <w:t>及</w:t>
      </w:r>
      <w:r>
        <w:rPr>
          <w:rFonts w:hint="eastAsia"/>
          <w:sz w:val="24"/>
          <w:lang w:eastAsia="zh-CN"/>
        </w:rPr>
        <w:t>局部血供</w:t>
      </w:r>
      <w:r>
        <w:rPr>
          <w:rFonts w:hint="eastAsia"/>
          <w:sz w:val="24"/>
        </w:rPr>
        <w:t>效果差的难题，形成了</w:t>
      </w:r>
      <w:r>
        <w:rPr>
          <w:rFonts w:hint="eastAsia"/>
          <w:sz w:val="24"/>
          <w:lang w:eastAsia="zh-CN"/>
        </w:rPr>
        <w:t>股骨头坏死的机制</w:t>
      </w:r>
      <w:r>
        <w:rPr>
          <w:rFonts w:hint="eastAsia"/>
          <w:sz w:val="24"/>
        </w:rPr>
        <w:t>与</w:t>
      </w:r>
      <w:r>
        <w:rPr>
          <w:rFonts w:hint="eastAsia"/>
          <w:sz w:val="24"/>
          <w:lang w:eastAsia="zh-CN"/>
        </w:rPr>
        <w:t>修复及显微血供重建</w:t>
      </w:r>
      <w:r>
        <w:rPr>
          <w:rFonts w:hint="eastAsia"/>
          <w:sz w:val="24"/>
        </w:rPr>
        <w:t>理论与具有完全自主知识产权的技术体系。</w:t>
      </w:r>
    </w:p>
    <w:p>
      <w:pPr>
        <w:spacing w:line="5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研究成果共授权发明专利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项，软件著作权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项，实用新型专利</w:t>
      </w:r>
      <w:r>
        <w:rPr>
          <w:rFonts w:hint="eastAsia"/>
          <w:sz w:val="24"/>
          <w:lang w:val="en-US" w:eastAsia="zh-CN"/>
        </w:rPr>
        <w:t>21</w:t>
      </w:r>
      <w:r>
        <w:rPr>
          <w:rFonts w:hint="eastAsia"/>
          <w:sz w:val="24"/>
        </w:rPr>
        <w:t>项；发表核心以上论文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0篇，其中：SCI检索1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篇，</w:t>
      </w:r>
      <w:r>
        <w:rPr>
          <w:rFonts w:hint="eastAsia"/>
          <w:sz w:val="24"/>
          <w:lang w:val="en-US" w:eastAsia="zh-CN"/>
        </w:rPr>
        <w:t xml:space="preserve">中华系列 </w:t>
      </w:r>
      <w:r>
        <w:rPr>
          <w:rFonts w:hint="default"/>
          <w:sz w:val="24"/>
          <w:lang w:val="en-US" w:eastAsia="zh-CN"/>
        </w:rPr>
        <w:t xml:space="preserve">6 </w:t>
      </w:r>
      <w:r>
        <w:rPr>
          <w:rFonts w:hint="eastAsia"/>
          <w:sz w:val="24"/>
          <w:lang w:val="en-US" w:eastAsia="zh-CN"/>
        </w:rPr>
        <w:t xml:space="preserve">篇，中文核心 </w:t>
      </w:r>
      <w:r>
        <w:rPr>
          <w:rFonts w:hint="default"/>
          <w:sz w:val="24"/>
          <w:lang w:val="en-US" w:eastAsia="zh-CN"/>
        </w:rPr>
        <w:t>2</w:t>
      </w:r>
      <w:r>
        <w:rPr>
          <w:rFonts w:hint="eastAsia"/>
          <w:sz w:val="24"/>
          <w:lang w:val="en-US" w:eastAsia="zh-CN"/>
        </w:rPr>
        <w:t>3</w:t>
      </w:r>
      <w:r>
        <w:rPr>
          <w:rFonts w:hint="default"/>
          <w:sz w:val="24"/>
          <w:lang w:val="en-US" w:eastAsia="zh-CN"/>
        </w:rPr>
        <w:t xml:space="preserve"> </w:t>
      </w:r>
      <w:r>
        <w:rPr>
          <w:rFonts w:hint="eastAsia"/>
          <w:sz w:val="24"/>
          <w:lang w:val="en-US" w:eastAsia="zh-CN"/>
        </w:rPr>
        <w:t>篇。</w:t>
      </w:r>
    </w:p>
    <w:p>
      <w:pPr>
        <w:spacing w:line="560" w:lineRule="exact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本项目提出的 </w:t>
      </w:r>
      <w:r>
        <w:rPr>
          <w:rFonts w:hint="default"/>
          <w:sz w:val="24"/>
          <w:lang w:val="en-US" w:eastAsia="zh-CN"/>
        </w:rPr>
        <w:t xml:space="preserve">BMP-2 </w:t>
      </w:r>
      <w:r>
        <w:rPr>
          <w:rFonts w:hint="eastAsia"/>
          <w:sz w:val="24"/>
          <w:lang w:val="en-US" w:eastAsia="zh-CN"/>
        </w:rPr>
        <w:t>转染</w:t>
      </w:r>
      <w:r>
        <w:rPr>
          <w:rFonts w:hint="default"/>
          <w:sz w:val="24"/>
          <w:lang w:val="en-US" w:eastAsia="zh-CN"/>
        </w:rPr>
        <w:t xml:space="preserve">BMSCs </w:t>
      </w:r>
      <w:r>
        <w:rPr>
          <w:rFonts w:hint="eastAsia"/>
          <w:sz w:val="24"/>
          <w:lang w:val="en-US" w:eastAsia="zh-CN"/>
        </w:rPr>
        <w:t xml:space="preserve">联合显微血供重建修复 </w:t>
      </w:r>
      <w:r>
        <w:rPr>
          <w:rFonts w:hint="default"/>
          <w:sz w:val="24"/>
          <w:lang w:val="en-US" w:eastAsia="zh-CN"/>
        </w:rPr>
        <w:t xml:space="preserve">ONFH </w:t>
      </w:r>
      <w:r>
        <w:rPr>
          <w:rFonts w:hint="eastAsia"/>
          <w:sz w:val="24"/>
          <w:lang w:val="en-US" w:eastAsia="zh-CN"/>
        </w:rPr>
        <w:t>的治疗方案及技术先后在焦作市第二人民医院、温县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 xml:space="preserve">人民医院、孟州市中医院、郑州大学第一附属医院、中国人民解放军联勤保障部队 </w:t>
      </w:r>
      <w:r>
        <w:rPr>
          <w:rFonts w:hint="default"/>
          <w:sz w:val="24"/>
          <w:lang w:val="en-US" w:eastAsia="zh-CN"/>
        </w:rPr>
        <w:t xml:space="preserve">988 </w:t>
      </w:r>
      <w:r>
        <w:rPr>
          <w:rFonts w:hint="eastAsia"/>
          <w:sz w:val="24"/>
          <w:lang w:val="en-US" w:eastAsia="zh-CN"/>
        </w:rPr>
        <w:t>医院等推广应用后取得良好效果。可显著改善患者的临床预后，明显延缓股骨头坏死的进展，减轻社会及患者家庭沉重的社会负担，具有巨大的经济和社会意义。</w:t>
      </w:r>
      <w:r>
        <w:rPr>
          <w:rFonts w:hint="eastAsia"/>
          <w:sz w:val="24"/>
        </w:rPr>
        <w:t>近三年创造经济利润超过</w:t>
      </w:r>
      <w:r>
        <w:rPr>
          <w:rFonts w:hint="eastAsia"/>
          <w:sz w:val="24"/>
          <w:lang w:val="en-US" w:eastAsia="zh-CN"/>
        </w:rPr>
        <w:t>3000余万</w:t>
      </w:r>
      <w:r>
        <w:rPr>
          <w:rFonts w:hint="eastAsia"/>
          <w:sz w:val="24"/>
        </w:rPr>
        <w:t>元。经专家评价项目成果达到国</w:t>
      </w:r>
      <w:r>
        <w:rPr>
          <w:rFonts w:hint="eastAsia"/>
          <w:sz w:val="24"/>
          <w:lang w:eastAsia="zh-CN"/>
        </w:rPr>
        <w:t>内</w:t>
      </w:r>
      <w:r>
        <w:rPr>
          <w:rFonts w:hint="eastAsia"/>
          <w:sz w:val="24"/>
        </w:rPr>
        <w:t>领先水平。</w:t>
      </w:r>
    </w:p>
    <w:p>
      <w:pPr>
        <w:spacing w:line="560" w:lineRule="exac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3.</w:t>
      </w:r>
      <w:r>
        <w:rPr>
          <w:rFonts w:hint="eastAsia" w:ascii="宋体" w:hAnsi="宋体"/>
          <w:b/>
          <w:bCs/>
          <w:sz w:val="24"/>
        </w:rPr>
        <w:t>提名单位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河南省教育厅</w:t>
      </w:r>
    </w:p>
    <w:p>
      <w:pPr>
        <w:spacing w:line="560" w:lineRule="exac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4.</w:t>
      </w:r>
      <w:r>
        <w:rPr>
          <w:rFonts w:hint="eastAsia" w:ascii="宋体" w:hAnsi="宋体"/>
          <w:b/>
          <w:bCs/>
          <w:sz w:val="24"/>
        </w:rPr>
        <w:t>主要完成人情况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992"/>
        <w:gridCol w:w="1701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序</w:t>
            </w:r>
          </w:p>
          <w:p>
            <w:pPr>
              <w:pStyle w:val="7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shd w:val="clear" w:color="auto" w:fill="FFFFFF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技术</w:t>
            </w:r>
          </w:p>
          <w:p>
            <w:pPr>
              <w:pStyle w:val="7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1701" w:type="dxa"/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3969" w:type="dxa"/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对成果创造性贡献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张雁儒</w:t>
            </w:r>
          </w:p>
        </w:tc>
        <w:tc>
          <w:tcPr>
            <w:tcW w:w="992" w:type="dxa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教授</w:t>
            </w:r>
          </w:p>
        </w:tc>
        <w:tc>
          <w:tcPr>
            <w:tcW w:w="1701" w:type="dxa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河南理工大学</w:t>
            </w:r>
          </w:p>
        </w:tc>
        <w:tc>
          <w:tcPr>
            <w:tcW w:w="3969" w:type="dxa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</w:rPr>
              <w:t>提出了项目的学术思想和研究内容，负责项目总体技术方案设计，全过程指导项目设计和实施。全面负责</w:t>
            </w:r>
            <w:r>
              <w:rPr>
                <w:rFonts w:hint="default" w:cs="Times New Roman"/>
                <w:color w:val="000000"/>
                <w:sz w:val="21"/>
                <w:szCs w:val="21"/>
                <w:lang w:val="en-US" w:eastAsia="zh-CN"/>
              </w:rPr>
              <w:t xml:space="preserve">BMP-2 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 xml:space="preserve">转染 </w:t>
            </w:r>
            <w:r>
              <w:rPr>
                <w:rFonts w:hint="default" w:cs="Times New Roman"/>
                <w:color w:val="000000"/>
                <w:sz w:val="21"/>
                <w:szCs w:val="21"/>
                <w:lang w:val="en-US" w:eastAsia="zh-CN"/>
              </w:rPr>
              <w:t xml:space="preserve">BMSCs 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 xml:space="preserve">联合显 微血供重建修复 </w:t>
            </w:r>
            <w:r>
              <w:rPr>
                <w:rFonts w:hint="default" w:cs="Times New Roman"/>
                <w:color w:val="000000"/>
                <w:sz w:val="21"/>
                <w:szCs w:val="21"/>
                <w:lang w:val="en-US" w:eastAsia="zh-CN"/>
              </w:rPr>
              <w:t xml:space="preserve">ONFH 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技术</w:t>
            </w:r>
            <w:r>
              <w:rPr>
                <w:rFonts w:hint="eastAsia" w:cs="Times New Roman"/>
                <w:color w:val="000000"/>
                <w:sz w:val="21"/>
                <w:szCs w:val="21"/>
              </w:rPr>
              <w:t>研究工作。对《主要科技创新》中创新成果一、二、三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和四</w:t>
            </w:r>
            <w:r>
              <w:rPr>
                <w:rFonts w:hint="eastAsia" w:cs="Times New Roman"/>
                <w:color w:val="000000"/>
                <w:sz w:val="21"/>
                <w:szCs w:val="21"/>
              </w:rPr>
              <w:t>均做出了创造性贡献。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黄文华</w:t>
            </w:r>
          </w:p>
        </w:tc>
        <w:tc>
          <w:tcPr>
            <w:tcW w:w="992" w:type="dxa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教授</w:t>
            </w:r>
          </w:p>
        </w:tc>
        <w:tc>
          <w:tcPr>
            <w:tcW w:w="1701" w:type="dxa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南方医科</w:t>
            </w:r>
            <w:r>
              <w:rPr>
                <w:rFonts w:hint="eastAsia"/>
                <w:color w:val="000000"/>
                <w:sz w:val="21"/>
                <w:szCs w:val="21"/>
              </w:rPr>
              <w:t>大学</w:t>
            </w:r>
          </w:p>
        </w:tc>
        <w:tc>
          <w:tcPr>
            <w:tcW w:w="3969" w:type="dxa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</w:rPr>
              <w:t>项目学术思想与研究内容制定重要参与人，全程参与制定项目总体方案，并指导项目的理论与实验研究工作，对</w:t>
            </w:r>
            <w:r>
              <w:rPr>
                <w:rFonts w:hint="default" w:cs="Times New Roman"/>
                <w:color w:val="000000"/>
                <w:sz w:val="21"/>
                <w:szCs w:val="21"/>
                <w:lang w:val="en-US" w:eastAsia="zh-CN"/>
              </w:rPr>
              <w:t xml:space="preserve">BMP-2 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 xml:space="preserve">转染 </w:t>
            </w:r>
            <w:r>
              <w:rPr>
                <w:rFonts w:hint="default" w:cs="Times New Roman"/>
                <w:color w:val="000000"/>
                <w:sz w:val="21"/>
                <w:szCs w:val="21"/>
                <w:lang w:val="en-US" w:eastAsia="zh-CN"/>
              </w:rPr>
              <w:t xml:space="preserve">BMSCs 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 xml:space="preserve">联合显微血供重建修复 </w:t>
            </w:r>
            <w:r>
              <w:rPr>
                <w:rFonts w:hint="default" w:cs="Times New Roman"/>
                <w:color w:val="000000"/>
                <w:sz w:val="21"/>
                <w:szCs w:val="21"/>
                <w:lang w:val="en-US" w:eastAsia="zh-CN"/>
              </w:rPr>
              <w:t xml:space="preserve">ONFH </w:t>
            </w:r>
            <w:r>
              <w:rPr>
                <w:rFonts w:hint="eastAsia" w:cs="Times New Roman"/>
                <w:color w:val="000000"/>
                <w:sz w:val="21"/>
                <w:szCs w:val="21"/>
              </w:rPr>
              <w:t>技术研究做出突出贡献。对《主要科技创新》中创新成果一、二、三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和四</w:t>
            </w:r>
            <w:r>
              <w:rPr>
                <w:rFonts w:hint="eastAsia" w:cs="Times New Roman"/>
                <w:color w:val="000000"/>
                <w:sz w:val="21"/>
                <w:szCs w:val="21"/>
              </w:rPr>
              <w:t>做出了突出创造性贡献。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李军伟</w:t>
            </w:r>
          </w:p>
        </w:tc>
        <w:tc>
          <w:tcPr>
            <w:tcW w:w="992" w:type="dxa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、主任医师</w:t>
            </w:r>
          </w:p>
        </w:tc>
        <w:tc>
          <w:tcPr>
            <w:tcW w:w="1701" w:type="dxa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郑州大学第一附属医院</w:t>
            </w:r>
          </w:p>
        </w:tc>
        <w:tc>
          <w:tcPr>
            <w:tcW w:w="3969" w:type="dxa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rPr>
                <w:rFonts w:hint="eastAsia" w:cs="Times New Roman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</w:rPr>
              <w:t>项目学术思想与研究内容制定重要参与人，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全面参与</w:t>
            </w:r>
            <w:r>
              <w:rPr>
                <w:rFonts w:hint="default" w:cs="Times New Roman"/>
                <w:color w:val="000000"/>
                <w:sz w:val="21"/>
                <w:szCs w:val="21"/>
                <w:lang w:val="en-US" w:eastAsia="zh-CN"/>
              </w:rPr>
              <w:t xml:space="preserve">BMP-2 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 xml:space="preserve">转染 </w:t>
            </w:r>
            <w:r>
              <w:rPr>
                <w:rFonts w:hint="default" w:cs="Times New Roman"/>
                <w:color w:val="000000"/>
                <w:sz w:val="21"/>
                <w:szCs w:val="21"/>
                <w:lang w:val="en-US" w:eastAsia="zh-CN"/>
              </w:rPr>
              <w:t xml:space="preserve">BMSCs 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 xml:space="preserve">联合显 微血供重建修复 </w:t>
            </w:r>
            <w:r>
              <w:rPr>
                <w:rFonts w:hint="default" w:cs="Times New Roman"/>
                <w:color w:val="000000"/>
                <w:sz w:val="21"/>
                <w:szCs w:val="21"/>
                <w:lang w:val="en-US" w:eastAsia="zh-CN"/>
              </w:rPr>
              <w:t xml:space="preserve">ONFH </w:t>
            </w:r>
            <w:r>
              <w:rPr>
                <w:rFonts w:hint="eastAsia" w:cs="Times New Roman"/>
                <w:color w:val="000000"/>
                <w:sz w:val="21"/>
                <w:szCs w:val="21"/>
              </w:rPr>
              <w:t>技术研究。对《主要科技创新》中创新成果一、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四</w:t>
            </w:r>
            <w:r>
              <w:rPr>
                <w:rFonts w:hint="eastAsia" w:cs="Times New Roman"/>
                <w:color w:val="000000"/>
                <w:sz w:val="21"/>
                <w:szCs w:val="21"/>
              </w:rPr>
              <w:t>做出了突出创造性贡献。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余进伟</w:t>
            </w:r>
          </w:p>
        </w:tc>
        <w:tc>
          <w:tcPr>
            <w:tcW w:w="992" w:type="dxa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、主任医师</w:t>
            </w:r>
          </w:p>
        </w:tc>
        <w:tc>
          <w:tcPr>
            <w:tcW w:w="1701" w:type="dxa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河南理工大学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第一附属医院</w:t>
            </w:r>
          </w:p>
        </w:tc>
        <w:tc>
          <w:tcPr>
            <w:tcW w:w="3969" w:type="dxa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rPr>
                <w:rFonts w:hint="eastAsia" w:cs="Times New Roman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</w:rPr>
              <w:t>全面参与</w:t>
            </w:r>
            <w:r>
              <w:rPr>
                <w:rFonts w:hint="default" w:cs="Times New Roman"/>
                <w:color w:val="000000"/>
                <w:sz w:val="21"/>
                <w:szCs w:val="21"/>
                <w:lang w:val="en-US" w:eastAsia="zh-CN"/>
              </w:rPr>
              <w:t xml:space="preserve">BMP-2 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 xml:space="preserve">转染 </w:t>
            </w:r>
            <w:r>
              <w:rPr>
                <w:rFonts w:hint="default" w:cs="Times New Roman"/>
                <w:color w:val="000000"/>
                <w:sz w:val="21"/>
                <w:szCs w:val="21"/>
                <w:lang w:val="en-US" w:eastAsia="zh-CN"/>
              </w:rPr>
              <w:t xml:space="preserve">BMSCs 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 xml:space="preserve">联合显微血供重建修复 </w:t>
            </w:r>
            <w:r>
              <w:rPr>
                <w:rFonts w:hint="default" w:cs="Times New Roman"/>
                <w:color w:val="000000"/>
                <w:sz w:val="21"/>
                <w:szCs w:val="21"/>
                <w:lang w:val="en-US" w:eastAsia="zh-CN"/>
              </w:rPr>
              <w:t xml:space="preserve">ONFH </w:t>
            </w:r>
            <w:r>
              <w:rPr>
                <w:rFonts w:hint="eastAsia" w:cs="Times New Roman"/>
                <w:color w:val="000000"/>
                <w:sz w:val="21"/>
                <w:szCs w:val="21"/>
              </w:rPr>
              <w:t>技术研究。对《主要科技创新》中创新成果三做出了突出创造性贡献。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34" w:type="dxa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方永刚</w:t>
            </w:r>
          </w:p>
        </w:tc>
        <w:tc>
          <w:tcPr>
            <w:tcW w:w="992" w:type="dxa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副主任医师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中国人民解放军联勤保障部队第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988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医院</w:t>
            </w:r>
          </w:p>
          <w:p>
            <w:pPr>
              <w:pStyle w:val="7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rPr>
                <w:rFonts w:hint="eastAsia" w:cs="Times New Roman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</w:rPr>
              <w:t>全面参与</w:t>
            </w:r>
            <w:r>
              <w:rPr>
                <w:rFonts w:hint="default" w:cs="Times New Roman"/>
                <w:color w:val="000000"/>
                <w:sz w:val="21"/>
                <w:szCs w:val="21"/>
                <w:lang w:val="en-US" w:eastAsia="zh-CN"/>
              </w:rPr>
              <w:t xml:space="preserve">BMP-2 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 xml:space="preserve">转染 </w:t>
            </w:r>
            <w:r>
              <w:rPr>
                <w:rFonts w:hint="default" w:cs="Times New Roman"/>
                <w:color w:val="000000"/>
                <w:sz w:val="21"/>
                <w:szCs w:val="21"/>
                <w:lang w:val="en-US" w:eastAsia="zh-CN"/>
              </w:rPr>
              <w:t xml:space="preserve">BMSCs 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 xml:space="preserve">联合显微血供重建修复 </w:t>
            </w:r>
            <w:r>
              <w:rPr>
                <w:rFonts w:hint="default" w:cs="Times New Roman"/>
                <w:color w:val="000000"/>
                <w:sz w:val="21"/>
                <w:szCs w:val="21"/>
                <w:lang w:val="en-US" w:eastAsia="zh-CN"/>
              </w:rPr>
              <w:t xml:space="preserve">ONFH </w:t>
            </w:r>
            <w:r>
              <w:rPr>
                <w:rFonts w:hint="eastAsia" w:cs="Times New Roman"/>
                <w:color w:val="000000"/>
                <w:sz w:val="21"/>
                <w:szCs w:val="21"/>
              </w:rPr>
              <w:t>技术研究，对《主要科技创新》中创新成果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三</w:t>
            </w:r>
            <w:r>
              <w:rPr>
                <w:rFonts w:hint="eastAsia" w:cs="Times New Roman"/>
                <w:color w:val="000000"/>
                <w:sz w:val="21"/>
                <w:szCs w:val="21"/>
              </w:rPr>
              <w:t>做出了突出创造性贡献。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34" w:type="dxa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王振辉</w:t>
            </w:r>
          </w:p>
        </w:tc>
        <w:tc>
          <w:tcPr>
            <w:tcW w:w="992" w:type="dxa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1701" w:type="dxa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河南理工大学</w:t>
            </w:r>
          </w:p>
        </w:tc>
        <w:tc>
          <w:tcPr>
            <w:tcW w:w="3969" w:type="dxa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rPr>
                <w:rFonts w:hint="eastAsia" w:cs="Times New Roman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</w:rPr>
              <w:t>参与</w:t>
            </w:r>
            <w:r>
              <w:rPr>
                <w:rFonts w:hint="default" w:cs="Times New Roman"/>
                <w:color w:val="000000"/>
                <w:sz w:val="21"/>
                <w:szCs w:val="21"/>
                <w:lang w:val="en-US" w:eastAsia="zh-CN"/>
              </w:rPr>
              <w:t xml:space="preserve">BMP-2 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 xml:space="preserve">转染 </w:t>
            </w:r>
            <w:r>
              <w:rPr>
                <w:rFonts w:hint="default" w:cs="Times New Roman"/>
                <w:color w:val="000000"/>
                <w:sz w:val="21"/>
                <w:szCs w:val="21"/>
                <w:lang w:val="en-US" w:eastAsia="zh-CN"/>
              </w:rPr>
              <w:t xml:space="preserve">BMSCs 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 xml:space="preserve">联合显微血供重建修复 </w:t>
            </w:r>
            <w:r>
              <w:rPr>
                <w:rFonts w:hint="default" w:cs="Times New Roman"/>
                <w:color w:val="000000"/>
                <w:sz w:val="21"/>
                <w:szCs w:val="21"/>
                <w:lang w:val="en-US" w:eastAsia="zh-CN"/>
              </w:rPr>
              <w:t xml:space="preserve">ONFH 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的药物干预</w:t>
            </w:r>
            <w:r>
              <w:rPr>
                <w:rFonts w:hint="eastAsia" w:cs="Times New Roman"/>
                <w:color w:val="000000"/>
                <w:sz w:val="21"/>
                <w:szCs w:val="21"/>
              </w:rPr>
              <w:t>研究，对《主要科技创新》中创新成果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一</w:t>
            </w:r>
            <w:r>
              <w:rPr>
                <w:rFonts w:hint="eastAsia" w:cs="Times New Roman"/>
                <w:color w:val="000000"/>
                <w:sz w:val="21"/>
                <w:szCs w:val="21"/>
              </w:rPr>
              <w:t>、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四</w:t>
            </w:r>
            <w:r>
              <w:rPr>
                <w:rFonts w:hint="eastAsia" w:cs="Times New Roman"/>
                <w:color w:val="000000"/>
                <w:sz w:val="21"/>
                <w:szCs w:val="21"/>
              </w:rPr>
              <w:t>做出了创造性贡献。</w:t>
            </w:r>
          </w:p>
        </w:tc>
      </w:tr>
    </w:tbl>
    <w:p>
      <w:pPr>
        <w:spacing w:line="560" w:lineRule="exac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5.</w:t>
      </w:r>
      <w:r>
        <w:rPr>
          <w:rFonts w:hint="eastAsia" w:ascii="宋体" w:hAnsi="宋体"/>
          <w:b/>
          <w:bCs/>
          <w:sz w:val="24"/>
        </w:rPr>
        <w:t>主要完成单位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河南理工大学、</w:t>
      </w:r>
      <w:r>
        <w:rPr>
          <w:rFonts w:hint="eastAsia" w:ascii="宋体" w:hAnsi="宋体"/>
          <w:sz w:val="24"/>
          <w:lang w:eastAsia="zh-CN"/>
        </w:rPr>
        <w:t>南方医科大学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eastAsia="zh-CN"/>
        </w:rPr>
        <w:t>郑州大学第一附属医院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eastAsia="zh-CN"/>
        </w:rPr>
        <w:t>河南理工大学第一附属医院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 xml:space="preserve">中国人民解放军联勤保障部队第 </w:t>
      </w:r>
      <w:r>
        <w:rPr>
          <w:rFonts w:hint="default" w:ascii="宋体" w:hAnsi="宋体"/>
          <w:sz w:val="24"/>
          <w:lang w:val="en-US" w:eastAsia="zh-CN"/>
        </w:rPr>
        <w:t xml:space="preserve">988 </w:t>
      </w:r>
      <w:r>
        <w:rPr>
          <w:rFonts w:hint="eastAsia" w:ascii="宋体" w:hAnsi="宋体"/>
          <w:sz w:val="24"/>
          <w:lang w:val="en-US" w:eastAsia="zh-CN"/>
        </w:rPr>
        <w:t>医院。</w:t>
      </w:r>
    </w:p>
    <w:p>
      <w:pPr>
        <w:spacing w:line="560" w:lineRule="exac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6.</w:t>
      </w:r>
      <w:r>
        <w:rPr>
          <w:rFonts w:hint="eastAsia" w:ascii="宋体" w:hAnsi="宋体"/>
          <w:b/>
          <w:bCs/>
          <w:sz w:val="24"/>
        </w:rPr>
        <w:t>主要知识产权和规范目录</w:t>
      </w:r>
    </w:p>
    <w:tbl>
      <w:tblPr>
        <w:tblStyle w:val="8"/>
        <w:tblW w:w="94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959"/>
        <w:gridCol w:w="1398"/>
        <w:gridCol w:w="641"/>
        <w:gridCol w:w="1028"/>
        <w:gridCol w:w="775"/>
        <w:gridCol w:w="1130"/>
        <w:gridCol w:w="977"/>
        <w:gridCol w:w="1513"/>
        <w:gridCol w:w="9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7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/>
                <w:b/>
                <w:bCs/>
                <w:color w:val="000000"/>
                <w:sz w:val="20"/>
              </w:rPr>
              <w:t>知识产权类别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知识产权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具体</w:t>
            </w:r>
            <w:r>
              <w:rPr>
                <w:rFonts w:ascii="宋体" w:hAnsi="宋体"/>
                <w:b/>
                <w:bCs/>
                <w:color w:val="000000"/>
                <w:sz w:val="20"/>
              </w:rPr>
              <w:t>名称</w:t>
            </w:r>
          </w:p>
        </w:tc>
        <w:tc>
          <w:tcPr>
            <w:tcW w:w="64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/>
                <w:b/>
                <w:bCs/>
                <w:color w:val="000000"/>
                <w:sz w:val="20"/>
              </w:rPr>
              <w:t>国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家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授权号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授权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日期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证书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编号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权利人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发明人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发明专利有效状态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88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发明专利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  <w:lang w:val="en-US" w:eastAsia="zh-CN"/>
              </w:rPr>
              <w:t>一种股骨头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内支撑装置</w:t>
            </w:r>
          </w:p>
          <w:p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中国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rPr>
                <w:rFonts w:hint="default" w:eastAsia="仿宋_GB2312"/>
                <w:sz w:val="20"/>
                <w:szCs w:val="20"/>
                <w:lang w:val="en-US" w:eastAsia="zh-CN"/>
              </w:rPr>
              <w:t xml:space="preserve">ZL20161104377 2.9 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rPr>
                <w:rFonts w:hint="default" w:eastAsia="仿宋_GB2312"/>
                <w:sz w:val="20"/>
                <w:szCs w:val="20"/>
                <w:lang w:val="en-US" w:eastAsia="zh-CN"/>
              </w:rPr>
              <w:t>2018-04-06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第</w:t>
            </w:r>
            <w:r>
              <w:rPr>
                <w:rFonts w:hint="default" w:eastAsia="仿宋_GB2312"/>
                <w:sz w:val="20"/>
                <w:szCs w:val="20"/>
                <w:lang w:val="en-US" w:eastAsia="zh-CN"/>
              </w:rPr>
              <w:t>2873547</w:t>
            </w:r>
          </w:p>
          <w:p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号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河南理工大学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  <w:lang w:val="en-US" w:eastAsia="zh-CN"/>
              </w:rPr>
              <w:t>张雁儒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4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发明专利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  <w:lang w:val="en-US" w:eastAsia="zh-CN"/>
              </w:rPr>
              <w:t xml:space="preserve">一种骨髓支 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撑装置</w:t>
            </w:r>
          </w:p>
        </w:tc>
        <w:tc>
          <w:tcPr>
            <w:tcW w:w="6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中国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rPr>
                <w:rFonts w:hint="default" w:eastAsia="仿宋_GB2312"/>
                <w:sz w:val="20"/>
                <w:szCs w:val="20"/>
                <w:lang w:val="en-US" w:eastAsia="zh-CN"/>
              </w:rPr>
              <w:t>ZL201611041950.4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rPr>
                <w:rFonts w:hint="default" w:eastAsia="仿宋_GB2312"/>
                <w:sz w:val="20"/>
                <w:szCs w:val="20"/>
                <w:lang w:val="en-US" w:eastAsia="zh-CN"/>
              </w:rPr>
              <w:t xml:space="preserve">2019-02-1 </w:t>
            </w:r>
          </w:p>
          <w:p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rPr>
                <w:rFonts w:hint="default" w:eastAsia="仿宋_GB2312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第</w:t>
            </w:r>
            <w:r>
              <w:rPr>
                <w:rFonts w:hint="default" w:eastAsia="仿宋_GB2312"/>
                <w:sz w:val="20"/>
                <w:szCs w:val="20"/>
                <w:lang w:val="en-US" w:eastAsia="zh-CN"/>
              </w:rPr>
              <w:t>3260935</w:t>
            </w:r>
          </w:p>
          <w:p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号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河南理工大学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  <w:lang w:val="en-US" w:eastAsia="zh-CN"/>
              </w:rPr>
              <w:t>张雁儒</w:t>
            </w:r>
          </w:p>
          <w:p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4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发明专利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sz w:val="20"/>
                <w:szCs w:val="20"/>
                <w:lang w:val="en-US" w:eastAsia="zh-CN"/>
              </w:rPr>
              <w:t>一种骨折矫正固定装置</w:t>
            </w:r>
          </w:p>
        </w:tc>
        <w:tc>
          <w:tcPr>
            <w:tcW w:w="6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中国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</w:rPr>
              <w:t>ZL201410034816.6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default" w:eastAsia="仿宋_GB2312"/>
                <w:sz w:val="20"/>
                <w:szCs w:val="20"/>
                <w:lang w:val="en-US" w:eastAsia="zh-CN"/>
              </w:rPr>
              <w:t>2018-09-25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第</w:t>
            </w:r>
            <w:r>
              <w:rPr>
                <w:rFonts w:hint="default" w:eastAsia="仿宋_GB2312"/>
                <w:sz w:val="20"/>
                <w:szCs w:val="20"/>
                <w:lang w:val="en-US" w:eastAsia="zh-CN"/>
              </w:rPr>
              <w:t>7887620</w:t>
            </w:r>
          </w:p>
          <w:p>
            <w:pPr>
              <w:adjustRightInd w:val="0"/>
              <w:snapToGrid w:val="0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号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河南理工大学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  <w:lang w:val="en-US" w:eastAsia="zh-CN"/>
              </w:rPr>
              <w:t>张雁儒</w:t>
            </w:r>
          </w:p>
          <w:p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3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发明专利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sz w:val="20"/>
                <w:szCs w:val="20"/>
                <w:lang w:val="en-US" w:eastAsia="zh-CN"/>
              </w:rPr>
              <w:t>一种植骨套件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及方法</w:t>
            </w:r>
          </w:p>
        </w:tc>
        <w:tc>
          <w:tcPr>
            <w:tcW w:w="6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中国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rPr>
                <w:rFonts w:hint="default" w:eastAsia="仿宋_GB2312"/>
                <w:sz w:val="20"/>
                <w:szCs w:val="20"/>
                <w:lang w:val="en-US" w:eastAsia="zh-CN"/>
              </w:rPr>
              <w:t>ZL2017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eastAsia="仿宋_GB2312"/>
                <w:sz w:val="20"/>
                <w:szCs w:val="20"/>
                <w:lang w:val="en-US" w:eastAsia="zh-CN"/>
              </w:rPr>
              <w:t>0331571.2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rPr>
                <w:rFonts w:hint="default" w:eastAsia="仿宋_GB2312"/>
                <w:sz w:val="20"/>
                <w:szCs w:val="20"/>
                <w:lang w:val="en-US" w:eastAsia="zh-CN"/>
              </w:rPr>
              <w:t xml:space="preserve">2018-12-0 </w:t>
            </w:r>
          </w:p>
          <w:p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rPr>
                <w:rFonts w:hint="default" w:eastAsia="仿宋_GB2312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第</w:t>
            </w:r>
            <w:r>
              <w:rPr>
                <w:rFonts w:hint="default" w:eastAsia="仿宋_GB2312"/>
                <w:sz w:val="20"/>
                <w:szCs w:val="20"/>
                <w:lang w:val="en-US" w:eastAsia="zh-CN"/>
              </w:rPr>
              <w:t>8189737</w:t>
            </w:r>
          </w:p>
          <w:p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号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河南理工大学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  <w:lang w:val="en-US" w:eastAsia="zh-CN"/>
              </w:rPr>
              <w:t>张雁儒</w:t>
            </w:r>
            <w:r>
              <w:rPr>
                <w:rFonts w:hint="default" w:eastAsia="仿宋_GB2312"/>
                <w:sz w:val="20"/>
                <w:szCs w:val="20"/>
                <w:lang w:val="en-US" w:eastAsia="zh-CN"/>
              </w:rPr>
              <w:t xml:space="preserve">, 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余进伟</w:t>
            </w:r>
            <w:r>
              <w:rPr>
                <w:rFonts w:hint="default" w:eastAsia="仿宋_GB2312"/>
                <w:sz w:val="20"/>
                <w:szCs w:val="20"/>
                <w:lang w:val="en-US" w:eastAsia="zh-CN"/>
              </w:rPr>
              <w:t xml:space="preserve">, 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宋合新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36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发明专利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  <w:lang w:val="en-US" w:eastAsia="zh-CN"/>
              </w:rPr>
              <w:t>一种下颌角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截骨导航模板的制备方法</w:t>
            </w:r>
          </w:p>
        </w:tc>
        <w:tc>
          <w:tcPr>
            <w:tcW w:w="6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中国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rPr>
                <w:rFonts w:hint="default" w:eastAsia="仿宋_GB2312"/>
                <w:sz w:val="20"/>
                <w:szCs w:val="20"/>
                <w:lang w:val="en-US" w:eastAsia="zh-CN"/>
              </w:rPr>
              <w:t>ZL201610234979.8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rPr>
                <w:rFonts w:hint="default" w:eastAsia="仿宋_GB2312"/>
                <w:sz w:val="20"/>
                <w:szCs w:val="20"/>
                <w:lang w:val="en-US" w:eastAsia="zh-CN"/>
              </w:rPr>
              <w:t xml:space="preserve">2018-05-25 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第</w:t>
            </w:r>
            <w:r>
              <w:rPr>
                <w:rFonts w:hint="default" w:eastAsia="仿宋_GB2312"/>
                <w:sz w:val="20"/>
                <w:szCs w:val="20"/>
                <w:lang w:val="en-US" w:eastAsia="zh-CN"/>
              </w:rPr>
              <w:t>2936089</w:t>
            </w:r>
          </w:p>
          <w:p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号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南方医科大学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  <w:lang w:val="en-US" w:eastAsia="zh-CN"/>
              </w:rPr>
              <w:t>黄文华，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钱堃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53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发明专利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一种治疗针刺装置</w:t>
            </w:r>
          </w:p>
        </w:tc>
        <w:tc>
          <w:tcPr>
            <w:tcW w:w="6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中国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ZL</w:t>
            </w:r>
            <w:r>
              <w:rPr>
                <w:rFonts w:hint="default" w:eastAsia="仿宋_GB2312"/>
                <w:sz w:val="20"/>
                <w:szCs w:val="20"/>
                <w:lang w:val="en-US" w:eastAsia="zh-CN"/>
              </w:rPr>
              <w:t>2016104 07511.4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201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eastAsia="仿宋_GB2312"/>
                <w:sz w:val="20"/>
                <w:szCs w:val="20"/>
              </w:rPr>
              <w:t>-0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eastAsia="仿宋_GB2312"/>
                <w:sz w:val="20"/>
                <w:szCs w:val="20"/>
              </w:rPr>
              <w:t>-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eastAsia="仿宋_GB2312"/>
                <w:sz w:val="20"/>
                <w:szCs w:val="20"/>
              </w:rPr>
              <w:t>8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第</w:t>
            </w:r>
            <w:r>
              <w:rPr>
                <w:rFonts w:hint="default" w:eastAsia="仿宋_GB2312"/>
                <w:sz w:val="20"/>
                <w:szCs w:val="20"/>
                <w:lang w:val="en-US" w:eastAsia="zh-CN"/>
              </w:rPr>
              <w:t>3092011</w:t>
            </w:r>
          </w:p>
          <w:p>
            <w:pPr>
              <w:adjustRightInd w:val="0"/>
              <w:snapToGrid w:val="0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号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南方医科大学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杜以宽，黄文华 </w:t>
            </w:r>
          </w:p>
          <w:p>
            <w:pPr>
              <w:adjustRightInd w:val="0"/>
              <w:snapToGrid w:val="0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04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发明专利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一种解剖学教学系统</w:t>
            </w:r>
          </w:p>
        </w:tc>
        <w:tc>
          <w:tcPr>
            <w:tcW w:w="6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中国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ZL201510106200.X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2015-08-19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第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2573228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</w:rPr>
              <w:t>河南理工大学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张雁儒，宋红生，路敦庭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5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发明专利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一种解剖学教学方法</w:t>
            </w:r>
          </w:p>
        </w:tc>
        <w:tc>
          <w:tcPr>
            <w:tcW w:w="6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中国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ZL201510106634.X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215-08-05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第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2573232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</w:rPr>
              <w:t>河南理工大学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张雁儒，宋红生，路敦庭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04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实用新型专利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instrText xml:space="preserve"> HYPERLINK "javascript:;" \o "一种长骨锁定板" </w:instrTex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一种刮刀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6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中国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ZL2014102246701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2017.3.31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第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7887620</w:t>
            </w:r>
          </w:p>
          <w:p>
            <w:pPr>
              <w:adjustRightInd w:val="0"/>
              <w:snapToGrid w:val="0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河南理工大学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张雁儒,余进伟,宋合新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87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实用新型专利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fldChar w:fldCharType="begin"/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instrText xml:space="preserve"> HYPERLINK "javascript:;" \o "一种微创尺骨髓内钉" </w:instrTex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一种微创尺骨髓内钉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6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中国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ZL201610131599.1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2016.11.24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第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10158665</w:t>
            </w:r>
          </w:p>
          <w:p>
            <w:pPr>
              <w:adjustRightInd w:val="0"/>
              <w:snapToGrid w:val="0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河南理工大学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张雁儒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有效</w:t>
            </w:r>
          </w:p>
        </w:tc>
      </w:tr>
    </w:tbl>
    <w:p>
      <w:pPr>
        <w:spacing w:line="560" w:lineRule="exact"/>
        <w:ind w:firstLine="480"/>
        <w:rPr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A3"/>
    <w:rsid w:val="000305F5"/>
    <w:rsid w:val="00066F04"/>
    <w:rsid w:val="000D2438"/>
    <w:rsid w:val="0012142B"/>
    <w:rsid w:val="00197A45"/>
    <w:rsid w:val="00230353"/>
    <w:rsid w:val="002725C1"/>
    <w:rsid w:val="002A0C57"/>
    <w:rsid w:val="002A3174"/>
    <w:rsid w:val="002D04FE"/>
    <w:rsid w:val="002E189C"/>
    <w:rsid w:val="00322274"/>
    <w:rsid w:val="003F3B28"/>
    <w:rsid w:val="004173BA"/>
    <w:rsid w:val="00420218"/>
    <w:rsid w:val="0047024C"/>
    <w:rsid w:val="0047745D"/>
    <w:rsid w:val="004C1844"/>
    <w:rsid w:val="004D1AB5"/>
    <w:rsid w:val="0050560B"/>
    <w:rsid w:val="00637F26"/>
    <w:rsid w:val="0069002A"/>
    <w:rsid w:val="00693805"/>
    <w:rsid w:val="006B3715"/>
    <w:rsid w:val="006D670B"/>
    <w:rsid w:val="00705CFF"/>
    <w:rsid w:val="007317EE"/>
    <w:rsid w:val="00735705"/>
    <w:rsid w:val="00735C36"/>
    <w:rsid w:val="00804F96"/>
    <w:rsid w:val="0084102F"/>
    <w:rsid w:val="00841473"/>
    <w:rsid w:val="008A2A97"/>
    <w:rsid w:val="00904AA5"/>
    <w:rsid w:val="00922B14"/>
    <w:rsid w:val="00975FF2"/>
    <w:rsid w:val="00A01A02"/>
    <w:rsid w:val="00A536EE"/>
    <w:rsid w:val="00A53ED1"/>
    <w:rsid w:val="00A75A3D"/>
    <w:rsid w:val="00A84375"/>
    <w:rsid w:val="00AB41BC"/>
    <w:rsid w:val="00B54C4C"/>
    <w:rsid w:val="00B617B9"/>
    <w:rsid w:val="00B83363"/>
    <w:rsid w:val="00C22003"/>
    <w:rsid w:val="00CB43B0"/>
    <w:rsid w:val="00D036BF"/>
    <w:rsid w:val="00D15947"/>
    <w:rsid w:val="00D57859"/>
    <w:rsid w:val="00D65214"/>
    <w:rsid w:val="00DC084E"/>
    <w:rsid w:val="00EC2551"/>
    <w:rsid w:val="00EF488F"/>
    <w:rsid w:val="00F33880"/>
    <w:rsid w:val="00F43DA3"/>
    <w:rsid w:val="00F7341E"/>
    <w:rsid w:val="00F73CDB"/>
    <w:rsid w:val="00F97997"/>
    <w:rsid w:val="00FB4D16"/>
    <w:rsid w:val="077E2BA3"/>
    <w:rsid w:val="0AE60C42"/>
    <w:rsid w:val="0B897D75"/>
    <w:rsid w:val="31E24549"/>
    <w:rsid w:val="37B719BC"/>
    <w:rsid w:val="431E501B"/>
    <w:rsid w:val="4D882C37"/>
    <w:rsid w:val="542C7D35"/>
    <w:rsid w:val="607C087E"/>
    <w:rsid w:val="6807549C"/>
    <w:rsid w:val="68594751"/>
    <w:rsid w:val="69B2777D"/>
    <w:rsid w:val="6A2C0EC7"/>
    <w:rsid w:val="7CE3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4"/>
      <w:szCs w:val="20"/>
    </w:rPr>
  </w:style>
  <w:style w:type="paragraph" w:styleId="3">
    <w:name w:val="annotation text"/>
    <w:basedOn w:val="1"/>
    <w:link w:val="15"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character" w:customStyle="1" w:styleId="14">
    <w:name w:val="批注框文本 Char"/>
    <w:basedOn w:val="10"/>
    <w:link w:val="4"/>
    <w:semiHidden/>
    <w:qFormat/>
    <w:uiPriority w:val="99"/>
    <w:rPr>
      <w:rFonts w:cs="Times New Roman"/>
      <w:sz w:val="18"/>
      <w:szCs w:val="18"/>
    </w:rPr>
  </w:style>
  <w:style w:type="character" w:customStyle="1" w:styleId="15">
    <w:name w:val="批注文字 Char"/>
    <w:basedOn w:val="10"/>
    <w:link w:val="3"/>
    <w:qFormat/>
    <w:uiPriority w:val="99"/>
    <w:rPr>
      <w:rFonts w:cs="Times New Roman"/>
      <w:sz w:val="21"/>
      <w:szCs w:val="24"/>
    </w:rPr>
  </w:style>
  <w:style w:type="character" w:customStyle="1" w:styleId="16">
    <w:name w:val="页眉 Char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7">
    <w:name w:val="页脚 Char"/>
    <w:basedOn w:val="10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520</Words>
  <Characters>2967</Characters>
  <Lines>24</Lines>
  <Paragraphs>6</Paragraphs>
  <TotalTime>7</TotalTime>
  <ScaleCrop>false</ScaleCrop>
  <LinksUpToDate>false</LinksUpToDate>
  <CharactersWithSpaces>3481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2020-06-21T09:24:00Z</dcterms:created>
  <dc:creator>吴瑞东 吴瑞东</dc:creator>
  <cp:lastModifiedBy>yxy</cp:lastModifiedBy>
  <dcterms:modified xsi:type="dcterms:W3CDTF">2020-06-22T06:33:23Z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