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15" w:rsidRPr="00B24A16" w:rsidRDefault="00FF4215" w:rsidP="00FF4215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B24A16">
        <w:rPr>
          <w:rFonts w:ascii="方正小标宋简体" w:eastAsia="方正小标宋简体" w:hint="eastAsia"/>
          <w:bCs/>
          <w:sz w:val="44"/>
          <w:szCs w:val="44"/>
        </w:rPr>
        <w:t>河南理工大学教育成本信息公</w:t>
      </w:r>
      <w:r w:rsidR="001E6794">
        <w:rPr>
          <w:rFonts w:ascii="方正小标宋简体" w:eastAsia="方正小标宋简体" w:hint="eastAsia"/>
          <w:bCs/>
          <w:sz w:val="44"/>
          <w:szCs w:val="44"/>
        </w:rPr>
        <w:t>示</w:t>
      </w:r>
    </w:p>
    <w:p w:rsidR="00FF4215" w:rsidRDefault="00FF4215">
      <w:r>
        <w:rPr>
          <w:rFonts w:hint="eastAsia"/>
        </w:rPr>
        <w:t xml:space="preserve">    </w:t>
      </w:r>
    </w:p>
    <w:p w:rsidR="00011A2A" w:rsidRPr="00FF4215" w:rsidRDefault="00FF4215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</w:t>
      </w:r>
      <w:r w:rsidRPr="00FF4215">
        <w:rPr>
          <w:rFonts w:ascii="仿宋_GB2312" w:eastAsia="仿宋_GB2312" w:hint="eastAsia"/>
          <w:sz w:val="32"/>
          <w:szCs w:val="32"/>
        </w:rPr>
        <w:t xml:space="preserve"> </w:t>
      </w:r>
      <w:r w:rsidR="00902B01">
        <w:rPr>
          <w:rFonts w:ascii="仿宋_GB2312" w:eastAsia="仿宋_GB2312" w:hint="eastAsia"/>
          <w:sz w:val="32"/>
          <w:szCs w:val="32"/>
        </w:rPr>
        <w:t xml:space="preserve"> </w:t>
      </w:r>
      <w:r w:rsidRPr="00FF4215">
        <w:rPr>
          <w:rFonts w:ascii="仿宋_GB2312" w:eastAsia="仿宋_GB2312" w:hint="eastAsia"/>
          <w:sz w:val="32"/>
          <w:szCs w:val="32"/>
        </w:rPr>
        <w:t>根据河南省教育厅办公室《关于公开教育成本信息的通知》（教办财</w:t>
      </w:r>
      <w:r w:rsidR="00FD1AF5" w:rsidRPr="00FD1AF5">
        <w:rPr>
          <w:rFonts w:ascii="仿宋_GB2312" w:eastAsia="仿宋_GB2312" w:hint="eastAsia"/>
          <w:sz w:val="32"/>
          <w:szCs w:val="32"/>
        </w:rPr>
        <w:t>〔2019〕</w:t>
      </w:r>
      <w:r w:rsidRPr="00FF4215">
        <w:rPr>
          <w:rFonts w:ascii="仿宋_GB2312" w:eastAsia="仿宋_GB2312" w:hint="eastAsia"/>
          <w:sz w:val="32"/>
          <w:szCs w:val="32"/>
        </w:rPr>
        <w:t>261号），为推进我省公办高校学费标准调整工作，现就河南理工大学教育成本信息公开事宜如下。</w:t>
      </w:r>
    </w:p>
    <w:p w:rsidR="00FF4215" w:rsidRPr="00B24A16" w:rsidRDefault="00902B01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</w:t>
      </w:r>
      <w:r w:rsidR="00FF4215" w:rsidRPr="00B24A16">
        <w:rPr>
          <w:rFonts w:ascii="黑体" w:eastAsia="黑体" w:hAnsi="黑体" w:hint="eastAsia"/>
          <w:bCs/>
          <w:sz w:val="32"/>
          <w:szCs w:val="32"/>
        </w:rPr>
        <w:t>一、基本情况</w:t>
      </w:r>
    </w:p>
    <w:p w:rsidR="003D4C74" w:rsidRPr="003D4C74" w:rsidRDefault="003D4C74" w:rsidP="003D4C74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D4C74">
        <w:rPr>
          <w:rFonts w:ascii="仿宋_GB2312" w:eastAsia="仿宋_GB2312" w:hAnsi="Calibri" w:cs="Times New Roman" w:hint="eastAsia"/>
          <w:sz w:val="32"/>
          <w:szCs w:val="32"/>
        </w:rPr>
        <w:t>河南理工大学始建于1909年，</w:t>
      </w:r>
      <w:r w:rsidR="003242E3">
        <w:rPr>
          <w:rFonts w:ascii="仿宋_GB2312" w:eastAsia="仿宋_GB2312" w:hAnsi="Calibri" w:cs="Times New Roman"/>
          <w:sz w:val="32"/>
          <w:szCs w:val="32"/>
        </w:rPr>
        <w:t>是我国第一所矿业高等学府和河南省建立最早的高等学校</w:t>
      </w:r>
      <w:r w:rsidR="003242E3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3D4C74">
        <w:rPr>
          <w:rFonts w:ascii="仿宋_GB2312" w:eastAsia="仿宋_GB2312" w:hAnsi="Calibri" w:cs="Times New Roman" w:hint="eastAsia"/>
          <w:sz w:val="32"/>
          <w:szCs w:val="32"/>
        </w:rPr>
        <w:t>是中央与地方共建、以地方管理为主的河南省特色骨干高校，国家安全生产监督管理总局与河南省人民政府共建高校，2015年入选国家“中西部高校基础能力建设工程”高校。</w:t>
      </w:r>
    </w:p>
    <w:p w:rsidR="003242E3" w:rsidRDefault="003D4C74" w:rsidP="003D4C74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D4C74">
        <w:rPr>
          <w:rFonts w:ascii="仿宋_GB2312" w:eastAsia="仿宋_GB2312" w:hAnsi="Calibri" w:cs="Times New Roman"/>
          <w:sz w:val="32"/>
          <w:szCs w:val="32"/>
        </w:rPr>
        <w:t>学校现有南校区、北校区、西校区三个校区，占地面积4100余亩</w:t>
      </w:r>
      <w:r w:rsidRPr="003D4C74">
        <w:rPr>
          <w:rFonts w:ascii="仿宋_GB2312" w:eastAsia="仿宋_GB2312" w:hAnsi="Calibri" w:cs="Times New Roman" w:hint="eastAsia"/>
          <w:sz w:val="32"/>
          <w:szCs w:val="32"/>
        </w:rPr>
        <w:t>，建筑面积约140万平方米</w:t>
      </w:r>
      <w:r w:rsidR="003242E3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3D4C74" w:rsidRPr="003D4C74" w:rsidRDefault="003D4C74" w:rsidP="003D4C74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D4C74">
        <w:rPr>
          <w:rFonts w:ascii="仿宋_GB2312" w:eastAsia="仿宋_GB2312" w:hAnsi="Calibri" w:cs="Times New Roman" w:hint="eastAsia"/>
          <w:sz w:val="32"/>
          <w:szCs w:val="32"/>
        </w:rPr>
        <w:t>学校设有2</w:t>
      </w:r>
      <w:r w:rsidR="003242E3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Pr="003D4C74">
        <w:rPr>
          <w:rFonts w:ascii="仿宋_GB2312" w:eastAsia="仿宋_GB2312" w:hAnsi="Calibri" w:cs="Times New Roman" w:hint="eastAsia"/>
          <w:sz w:val="32"/>
          <w:szCs w:val="32"/>
        </w:rPr>
        <w:t>个教学学院</w:t>
      </w:r>
      <w:r w:rsidR="003242E3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3D4C74">
        <w:rPr>
          <w:rFonts w:ascii="仿宋_GB2312" w:eastAsia="仿宋_GB2312" w:hAnsi="Calibri" w:cs="Times New Roman" w:hint="eastAsia"/>
          <w:sz w:val="32"/>
          <w:szCs w:val="32"/>
        </w:rPr>
        <w:t>现有全日制在校生3.8万人，建</w:t>
      </w:r>
      <w:r w:rsidRPr="003D4C74">
        <w:rPr>
          <w:rFonts w:ascii="仿宋_GB2312" w:eastAsia="仿宋_GB2312" w:hAnsi="Calibri" w:cs="Times New Roman"/>
          <w:sz w:val="32"/>
          <w:szCs w:val="32"/>
        </w:rPr>
        <w:t>有5个博士后科研流动站、6个一级学科博士点、20个一级学科硕士点、75个本科专业，涵盖9大学科门类。</w:t>
      </w:r>
      <w:r w:rsidR="005F7C7E">
        <w:rPr>
          <w:rFonts w:ascii="仿宋_GB2312" w:eastAsia="仿宋_GB2312" w:hAnsi="Calibri" w:cs="Times New Roman" w:hint="eastAsia"/>
          <w:sz w:val="32"/>
          <w:szCs w:val="32"/>
        </w:rPr>
        <w:t>近年来，学校</w:t>
      </w:r>
      <w:r w:rsidRPr="003D4C74">
        <w:rPr>
          <w:rFonts w:ascii="仿宋_GB2312" w:eastAsia="仿宋_GB2312" w:hAnsi="Calibri" w:cs="Times New Roman" w:hint="eastAsia"/>
          <w:sz w:val="32"/>
          <w:szCs w:val="32"/>
        </w:rPr>
        <w:t>已发展成为国家能源工业和我省经济社会发展重要的人才培养基地、科技创新基地和安全培训基地。</w:t>
      </w:r>
    </w:p>
    <w:p w:rsidR="003D4C74" w:rsidRPr="00D97A79" w:rsidRDefault="00505733" w:rsidP="003D4C74">
      <w:pPr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3D4C74" w:rsidRPr="00D97A79">
        <w:rPr>
          <w:rFonts w:ascii="楷体_GB2312" w:eastAsia="楷体_GB2312" w:hint="eastAsia"/>
          <w:b/>
          <w:sz w:val="32"/>
          <w:szCs w:val="32"/>
        </w:rPr>
        <w:t>（一）教职工情况</w:t>
      </w:r>
    </w:p>
    <w:p w:rsidR="003D4C74" w:rsidRPr="003D4C74" w:rsidRDefault="003D4C74" w:rsidP="003D4C7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D4C74">
        <w:rPr>
          <w:rFonts w:ascii="仿宋_GB2312" w:eastAsia="仿宋_GB2312" w:hint="eastAsia"/>
          <w:sz w:val="32"/>
          <w:szCs w:val="32"/>
        </w:rPr>
        <w:t>2015年我校在职教职工</w:t>
      </w:r>
      <w:r w:rsidR="00172DF5">
        <w:rPr>
          <w:rFonts w:ascii="仿宋_GB2312" w:eastAsia="仿宋_GB2312" w:hint="eastAsia"/>
          <w:sz w:val="32"/>
          <w:szCs w:val="32"/>
        </w:rPr>
        <w:t>3313</w:t>
      </w:r>
      <w:r w:rsidRPr="003D4C74">
        <w:rPr>
          <w:rFonts w:ascii="仿宋_GB2312" w:eastAsia="仿宋_GB2312" w:hint="eastAsia"/>
          <w:sz w:val="32"/>
          <w:szCs w:val="32"/>
        </w:rPr>
        <w:t>人，其中</w:t>
      </w:r>
      <w:r w:rsidR="00F8382E">
        <w:rPr>
          <w:rFonts w:ascii="仿宋_GB2312" w:eastAsia="仿宋_GB2312" w:hint="eastAsia"/>
          <w:sz w:val="32"/>
          <w:szCs w:val="32"/>
        </w:rPr>
        <w:t>：</w:t>
      </w:r>
      <w:r w:rsidRPr="003D4C74">
        <w:rPr>
          <w:rFonts w:ascii="仿宋_GB2312" w:eastAsia="仿宋_GB2312" w:hint="eastAsia"/>
          <w:sz w:val="32"/>
          <w:szCs w:val="32"/>
        </w:rPr>
        <w:t>专任教师</w:t>
      </w:r>
      <w:r>
        <w:rPr>
          <w:rFonts w:ascii="仿宋_GB2312" w:eastAsia="仿宋_GB2312" w:hint="eastAsia"/>
          <w:sz w:val="32"/>
          <w:szCs w:val="32"/>
        </w:rPr>
        <w:t>2232</w:t>
      </w:r>
      <w:r w:rsidRPr="003D4C74">
        <w:rPr>
          <w:rFonts w:ascii="仿宋_GB2312" w:eastAsia="仿宋_GB2312" w:hint="eastAsia"/>
          <w:sz w:val="32"/>
          <w:szCs w:val="32"/>
        </w:rPr>
        <w:t>人，业务辅助人员</w:t>
      </w:r>
      <w:r>
        <w:rPr>
          <w:rFonts w:ascii="仿宋_GB2312" w:eastAsia="仿宋_GB2312" w:hint="eastAsia"/>
          <w:sz w:val="32"/>
          <w:szCs w:val="32"/>
        </w:rPr>
        <w:t>161</w:t>
      </w:r>
      <w:r w:rsidRPr="003D4C74">
        <w:rPr>
          <w:rFonts w:ascii="仿宋_GB2312" w:eastAsia="仿宋_GB2312" w:hint="eastAsia"/>
          <w:sz w:val="32"/>
          <w:szCs w:val="32"/>
        </w:rPr>
        <w:t>人，行政管理人员2</w:t>
      </w:r>
      <w:r>
        <w:rPr>
          <w:rFonts w:ascii="仿宋_GB2312" w:eastAsia="仿宋_GB2312" w:hint="eastAsia"/>
          <w:sz w:val="32"/>
          <w:szCs w:val="32"/>
        </w:rPr>
        <w:t>77</w:t>
      </w:r>
      <w:r w:rsidRPr="003D4C74">
        <w:rPr>
          <w:rFonts w:ascii="仿宋_GB2312" w:eastAsia="仿宋_GB2312" w:hint="eastAsia"/>
          <w:sz w:val="32"/>
          <w:szCs w:val="32"/>
        </w:rPr>
        <w:t>人，后勤及其他人员</w:t>
      </w:r>
      <w:r>
        <w:rPr>
          <w:rFonts w:ascii="仿宋_GB2312" w:eastAsia="仿宋_GB2312" w:hint="eastAsia"/>
          <w:sz w:val="32"/>
          <w:szCs w:val="32"/>
        </w:rPr>
        <w:t>643</w:t>
      </w:r>
      <w:r w:rsidRPr="003D4C74">
        <w:rPr>
          <w:rFonts w:ascii="仿宋_GB2312" w:eastAsia="仿宋_GB2312" w:hint="eastAsia"/>
          <w:sz w:val="32"/>
          <w:szCs w:val="32"/>
        </w:rPr>
        <w:t>人；离退休人员</w:t>
      </w:r>
      <w:r>
        <w:rPr>
          <w:rFonts w:ascii="仿宋_GB2312" w:eastAsia="仿宋_GB2312" w:hint="eastAsia"/>
          <w:sz w:val="32"/>
          <w:szCs w:val="32"/>
        </w:rPr>
        <w:t>663</w:t>
      </w:r>
      <w:r w:rsidRPr="003D4C74">
        <w:rPr>
          <w:rFonts w:ascii="仿宋_GB2312" w:eastAsia="仿宋_GB2312" w:hint="eastAsia"/>
          <w:sz w:val="32"/>
          <w:szCs w:val="32"/>
        </w:rPr>
        <w:t>人</w:t>
      </w:r>
      <w:r w:rsidR="00F8382E">
        <w:rPr>
          <w:rFonts w:ascii="仿宋_GB2312" w:eastAsia="仿宋_GB2312" w:hint="eastAsia"/>
          <w:sz w:val="32"/>
          <w:szCs w:val="32"/>
        </w:rPr>
        <w:t>。</w:t>
      </w:r>
    </w:p>
    <w:p w:rsidR="003D4C74" w:rsidRPr="003D4C74" w:rsidRDefault="003D4C74" w:rsidP="003D4C7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Pr="003D4C74">
        <w:rPr>
          <w:rFonts w:ascii="仿宋_GB2312" w:eastAsia="仿宋_GB2312" w:hint="eastAsia"/>
          <w:sz w:val="32"/>
          <w:szCs w:val="32"/>
        </w:rPr>
        <w:t>2016年我校在职教职工</w:t>
      </w:r>
      <w:r w:rsidR="00172DF5">
        <w:rPr>
          <w:rFonts w:ascii="仿宋_GB2312" w:eastAsia="仿宋_GB2312" w:hint="eastAsia"/>
          <w:sz w:val="32"/>
          <w:szCs w:val="32"/>
        </w:rPr>
        <w:t>3363</w:t>
      </w:r>
      <w:r w:rsidRPr="003D4C74">
        <w:rPr>
          <w:rFonts w:ascii="仿宋_GB2312" w:eastAsia="仿宋_GB2312" w:hint="eastAsia"/>
          <w:sz w:val="32"/>
          <w:szCs w:val="32"/>
        </w:rPr>
        <w:t>人，其中</w:t>
      </w:r>
      <w:r w:rsidR="00F8382E">
        <w:rPr>
          <w:rFonts w:ascii="仿宋_GB2312" w:eastAsia="仿宋_GB2312" w:hint="eastAsia"/>
          <w:sz w:val="32"/>
          <w:szCs w:val="32"/>
        </w:rPr>
        <w:t>：</w:t>
      </w:r>
      <w:r w:rsidRPr="003D4C74">
        <w:rPr>
          <w:rFonts w:ascii="仿宋_GB2312" w:eastAsia="仿宋_GB2312" w:hint="eastAsia"/>
          <w:sz w:val="32"/>
          <w:szCs w:val="32"/>
        </w:rPr>
        <w:t>专任教师</w:t>
      </w:r>
      <w:r>
        <w:rPr>
          <w:rFonts w:ascii="仿宋_GB2312" w:eastAsia="仿宋_GB2312" w:hint="eastAsia"/>
          <w:sz w:val="32"/>
          <w:szCs w:val="32"/>
        </w:rPr>
        <w:t>2264</w:t>
      </w:r>
      <w:r w:rsidRPr="003D4C74">
        <w:rPr>
          <w:rFonts w:ascii="仿宋_GB2312" w:eastAsia="仿宋_GB2312" w:hint="eastAsia"/>
          <w:sz w:val="32"/>
          <w:szCs w:val="32"/>
        </w:rPr>
        <w:t>人，业务辅助人员</w:t>
      </w:r>
      <w:r>
        <w:rPr>
          <w:rFonts w:ascii="仿宋_GB2312" w:eastAsia="仿宋_GB2312" w:hint="eastAsia"/>
          <w:sz w:val="32"/>
          <w:szCs w:val="32"/>
        </w:rPr>
        <w:t>256</w:t>
      </w:r>
      <w:r w:rsidRPr="003D4C74">
        <w:rPr>
          <w:rFonts w:ascii="仿宋_GB2312" w:eastAsia="仿宋_GB2312" w:hint="eastAsia"/>
          <w:sz w:val="32"/>
          <w:szCs w:val="32"/>
        </w:rPr>
        <w:t>人，行政管理人员</w:t>
      </w:r>
      <w:r>
        <w:rPr>
          <w:rFonts w:ascii="仿宋_GB2312" w:eastAsia="仿宋_GB2312" w:hint="eastAsia"/>
          <w:sz w:val="32"/>
          <w:szCs w:val="32"/>
        </w:rPr>
        <w:t>276</w:t>
      </w:r>
      <w:r w:rsidRPr="003D4C74">
        <w:rPr>
          <w:rFonts w:ascii="仿宋_GB2312" w:eastAsia="仿宋_GB2312" w:hint="eastAsia"/>
          <w:sz w:val="32"/>
          <w:szCs w:val="32"/>
        </w:rPr>
        <w:t>人，后勤及其他人员</w:t>
      </w:r>
      <w:r>
        <w:rPr>
          <w:rFonts w:ascii="仿宋_GB2312" w:eastAsia="仿宋_GB2312" w:hint="eastAsia"/>
          <w:sz w:val="32"/>
          <w:szCs w:val="32"/>
        </w:rPr>
        <w:t>567</w:t>
      </w:r>
      <w:r w:rsidRPr="003D4C74">
        <w:rPr>
          <w:rFonts w:ascii="仿宋_GB2312" w:eastAsia="仿宋_GB2312" w:hint="eastAsia"/>
          <w:sz w:val="32"/>
          <w:szCs w:val="32"/>
        </w:rPr>
        <w:t>人；离退休人员</w:t>
      </w:r>
      <w:r>
        <w:rPr>
          <w:rFonts w:ascii="仿宋_GB2312" w:eastAsia="仿宋_GB2312" w:hint="eastAsia"/>
          <w:sz w:val="32"/>
          <w:szCs w:val="32"/>
        </w:rPr>
        <w:t>677</w:t>
      </w:r>
      <w:r w:rsidRPr="003D4C74">
        <w:rPr>
          <w:rFonts w:ascii="仿宋_GB2312" w:eastAsia="仿宋_GB2312" w:hint="eastAsia"/>
          <w:sz w:val="32"/>
          <w:szCs w:val="32"/>
        </w:rPr>
        <w:t>人</w:t>
      </w:r>
      <w:r w:rsidR="00F8382E">
        <w:rPr>
          <w:rFonts w:ascii="仿宋_GB2312" w:eastAsia="仿宋_GB2312" w:hint="eastAsia"/>
          <w:sz w:val="32"/>
          <w:szCs w:val="32"/>
        </w:rPr>
        <w:t>。</w:t>
      </w:r>
    </w:p>
    <w:p w:rsidR="003D4C74" w:rsidRPr="003D4C74" w:rsidRDefault="003D4C74" w:rsidP="003D4C7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D4C74">
        <w:rPr>
          <w:rFonts w:ascii="仿宋_GB2312" w:eastAsia="仿宋_GB2312" w:hint="eastAsia"/>
          <w:sz w:val="32"/>
          <w:szCs w:val="32"/>
        </w:rPr>
        <w:t>2017年我校在职教职工</w:t>
      </w:r>
      <w:r w:rsidR="00172DF5">
        <w:rPr>
          <w:rFonts w:ascii="仿宋_GB2312" w:eastAsia="仿宋_GB2312" w:hint="eastAsia"/>
          <w:sz w:val="32"/>
          <w:szCs w:val="32"/>
        </w:rPr>
        <w:t>3141</w:t>
      </w:r>
      <w:r w:rsidRPr="003D4C74">
        <w:rPr>
          <w:rFonts w:ascii="仿宋_GB2312" w:eastAsia="仿宋_GB2312" w:hint="eastAsia"/>
          <w:sz w:val="32"/>
          <w:szCs w:val="32"/>
        </w:rPr>
        <w:t>人，其中</w:t>
      </w:r>
      <w:r w:rsidR="00F8382E">
        <w:rPr>
          <w:rFonts w:ascii="仿宋_GB2312" w:eastAsia="仿宋_GB2312" w:hint="eastAsia"/>
          <w:sz w:val="32"/>
          <w:szCs w:val="32"/>
        </w:rPr>
        <w:t>：</w:t>
      </w:r>
      <w:r w:rsidRPr="003D4C74">
        <w:rPr>
          <w:rFonts w:ascii="仿宋_GB2312" w:eastAsia="仿宋_GB2312" w:hint="eastAsia"/>
          <w:sz w:val="32"/>
          <w:szCs w:val="32"/>
        </w:rPr>
        <w:t>专任教师</w:t>
      </w:r>
      <w:r>
        <w:rPr>
          <w:rFonts w:ascii="仿宋_GB2312" w:eastAsia="仿宋_GB2312" w:hint="eastAsia"/>
          <w:sz w:val="32"/>
          <w:szCs w:val="32"/>
        </w:rPr>
        <w:t>2258</w:t>
      </w:r>
      <w:r w:rsidRPr="003D4C74">
        <w:rPr>
          <w:rFonts w:ascii="仿宋_GB2312" w:eastAsia="仿宋_GB2312" w:hint="eastAsia"/>
          <w:sz w:val="32"/>
          <w:szCs w:val="32"/>
        </w:rPr>
        <w:t>人，业务辅助人员</w:t>
      </w:r>
      <w:r>
        <w:rPr>
          <w:rFonts w:ascii="仿宋_GB2312" w:eastAsia="仿宋_GB2312" w:hint="eastAsia"/>
          <w:sz w:val="32"/>
          <w:szCs w:val="32"/>
        </w:rPr>
        <w:t>202</w:t>
      </w:r>
      <w:r w:rsidRPr="003D4C74">
        <w:rPr>
          <w:rFonts w:ascii="仿宋_GB2312" w:eastAsia="仿宋_GB2312" w:hint="eastAsia"/>
          <w:sz w:val="32"/>
          <w:szCs w:val="32"/>
        </w:rPr>
        <w:t>人，行政管理人员</w:t>
      </w:r>
      <w:r>
        <w:rPr>
          <w:rFonts w:ascii="仿宋_GB2312" w:eastAsia="仿宋_GB2312" w:hint="eastAsia"/>
          <w:sz w:val="32"/>
          <w:szCs w:val="32"/>
        </w:rPr>
        <w:t>315</w:t>
      </w:r>
      <w:r w:rsidRPr="003D4C74">
        <w:rPr>
          <w:rFonts w:ascii="仿宋_GB2312" w:eastAsia="仿宋_GB2312" w:hint="eastAsia"/>
          <w:sz w:val="32"/>
          <w:szCs w:val="32"/>
        </w:rPr>
        <w:t>人，后勤及其他人员</w:t>
      </w:r>
      <w:r>
        <w:rPr>
          <w:rFonts w:ascii="仿宋_GB2312" w:eastAsia="仿宋_GB2312" w:hint="eastAsia"/>
          <w:sz w:val="32"/>
          <w:szCs w:val="32"/>
        </w:rPr>
        <w:t>366</w:t>
      </w:r>
      <w:r w:rsidRPr="003D4C74">
        <w:rPr>
          <w:rFonts w:ascii="仿宋_GB2312" w:eastAsia="仿宋_GB2312" w:hint="eastAsia"/>
          <w:sz w:val="32"/>
          <w:szCs w:val="32"/>
        </w:rPr>
        <w:t>人；离退休人员7</w:t>
      </w:r>
      <w:r>
        <w:rPr>
          <w:rFonts w:ascii="仿宋_GB2312" w:eastAsia="仿宋_GB2312" w:hint="eastAsia"/>
          <w:sz w:val="32"/>
          <w:szCs w:val="32"/>
        </w:rPr>
        <w:t>07</w:t>
      </w:r>
      <w:r w:rsidRPr="003D4C74">
        <w:rPr>
          <w:rFonts w:ascii="仿宋_GB2312" w:eastAsia="仿宋_GB2312" w:hint="eastAsia"/>
          <w:sz w:val="32"/>
          <w:szCs w:val="32"/>
        </w:rPr>
        <w:t>人。</w:t>
      </w:r>
    </w:p>
    <w:p w:rsidR="0051154D" w:rsidRPr="0051154D" w:rsidRDefault="0051154D" w:rsidP="005115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97A79">
        <w:rPr>
          <w:rFonts w:ascii="楷体_GB2312" w:eastAsia="楷体_GB2312" w:hint="eastAsia"/>
          <w:b/>
          <w:sz w:val="32"/>
          <w:szCs w:val="32"/>
        </w:rPr>
        <w:t>（二）学生情况</w:t>
      </w:r>
    </w:p>
    <w:p w:rsidR="00DD5763" w:rsidRDefault="0051154D" w:rsidP="005115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1154D">
        <w:rPr>
          <w:rFonts w:ascii="仿宋_GB2312" w:eastAsia="仿宋_GB2312" w:hint="eastAsia"/>
          <w:sz w:val="32"/>
          <w:szCs w:val="32"/>
        </w:rPr>
        <w:t>2015年折合标准生人数</w:t>
      </w:r>
      <w:r>
        <w:rPr>
          <w:rFonts w:ascii="仿宋_GB2312" w:eastAsia="仿宋_GB2312" w:hint="eastAsia"/>
          <w:sz w:val="32"/>
          <w:szCs w:val="32"/>
        </w:rPr>
        <w:t>37043</w:t>
      </w:r>
      <w:r w:rsidRPr="0051154D">
        <w:rPr>
          <w:rFonts w:ascii="仿宋_GB2312" w:eastAsia="仿宋_GB2312" w:hint="eastAsia"/>
          <w:sz w:val="32"/>
          <w:szCs w:val="32"/>
        </w:rPr>
        <w:t>人，其中：</w:t>
      </w:r>
      <w:r w:rsidR="00DD5763">
        <w:rPr>
          <w:rFonts w:ascii="仿宋_GB2312" w:eastAsia="仿宋_GB2312" w:hint="eastAsia"/>
          <w:sz w:val="32"/>
          <w:szCs w:val="32"/>
        </w:rPr>
        <w:t>全日制博士生145人，</w:t>
      </w:r>
      <w:r w:rsidRPr="0051154D">
        <w:rPr>
          <w:rFonts w:ascii="仿宋_GB2312" w:eastAsia="仿宋_GB2312" w:hint="eastAsia"/>
          <w:sz w:val="32"/>
          <w:szCs w:val="32"/>
        </w:rPr>
        <w:t>全日制硕士生</w:t>
      </w:r>
      <w:r>
        <w:rPr>
          <w:rFonts w:ascii="仿宋_GB2312" w:eastAsia="仿宋_GB2312" w:hint="eastAsia"/>
          <w:sz w:val="32"/>
          <w:szCs w:val="32"/>
        </w:rPr>
        <w:t>2130</w:t>
      </w:r>
      <w:r w:rsidRPr="0051154D">
        <w:rPr>
          <w:rFonts w:ascii="仿宋_GB2312" w:eastAsia="仿宋_GB2312" w:hint="eastAsia"/>
          <w:sz w:val="32"/>
          <w:szCs w:val="32"/>
        </w:rPr>
        <w:t>人，全日制本科生</w:t>
      </w:r>
      <w:r>
        <w:rPr>
          <w:rFonts w:ascii="仿宋_GB2312" w:eastAsia="仿宋_GB2312" w:hint="eastAsia"/>
          <w:sz w:val="32"/>
          <w:szCs w:val="32"/>
        </w:rPr>
        <w:t>29660</w:t>
      </w:r>
      <w:r w:rsidRPr="0051154D">
        <w:rPr>
          <w:rFonts w:ascii="仿宋_GB2312" w:eastAsia="仿宋_GB2312" w:hint="eastAsia"/>
          <w:sz w:val="32"/>
          <w:szCs w:val="32"/>
        </w:rPr>
        <w:t>人，</w:t>
      </w:r>
      <w:r w:rsidR="00DD5763">
        <w:rPr>
          <w:rFonts w:ascii="仿宋_GB2312" w:eastAsia="仿宋_GB2312" w:hint="eastAsia"/>
          <w:sz w:val="32"/>
          <w:szCs w:val="32"/>
        </w:rPr>
        <w:t>第二学士学位学生292人，</w:t>
      </w:r>
      <w:r w:rsidRPr="0051154D">
        <w:rPr>
          <w:rFonts w:ascii="仿宋_GB2312" w:eastAsia="仿宋_GB2312" w:hint="eastAsia"/>
          <w:sz w:val="32"/>
          <w:szCs w:val="32"/>
        </w:rPr>
        <w:t>全日制专科生</w:t>
      </w:r>
      <w:r>
        <w:rPr>
          <w:rFonts w:ascii="仿宋_GB2312" w:eastAsia="仿宋_GB2312" w:hint="eastAsia"/>
          <w:sz w:val="32"/>
          <w:szCs w:val="32"/>
        </w:rPr>
        <w:t>1055</w:t>
      </w:r>
      <w:r w:rsidRPr="0051154D">
        <w:rPr>
          <w:rFonts w:ascii="仿宋_GB2312" w:eastAsia="仿宋_GB2312" w:hint="eastAsia"/>
          <w:sz w:val="32"/>
          <w:szCs w:val="32"/>
        </w:rPr>
        <w:t>人，</w:t>
      </w:r>
      <w:r w:rsidR="00DD5763">
        <w:rPr>
          <w:rFonts w:ascii="仿宋_GB2312" w:eastAsia="仿宋_GB2312" w:hint="eastAsia"/>
          <w:sz w:val="32"/>
          <w:szCs w:val="32"/>
        </w:rPr>
        <w:t>高等职业技术教育学生2549人</w:t>
      </w:r>
      <w:r w:rsidRPr="0051154D">
        <w:rPr>
          <w:rFonts w:ascii="仿宋_GB2312" w:eastAsia="仿宋_GB2312" w:hint="eastAsia"/>
          <w:sz w:val="32"/>
          <w:szCs w:val="32"/>
        </w:rPr>
        <w:t>，同等学历攻读硕士学位人员</w:t>
      </w:r>
      <w:r>
        <w:rPr>
          <w:rFonts w:ascii="仿宋_GB2312" w:eastAsia="仿宋_GB2312" w:hint="eastAsia"/>
          <w:sz w:val="32"/>
          <w:szCs w:val="32"/>
        </w:rPr>
        <w:t>1181</w:t>
      </w:r>
      <w:r w:rsidR="00DD5763">
        <w:rPr>
          <w:rFonts w:ascii="仿宋_GB2312" w:eastAsia="仿宋_GB2312" w:hint="eastAsia"/>
          <w:sz w:val="32"/>
          <w:szCs w:val="32"/>
        </w:rPr>
        <w:t>人</w:t>
      </w:r>
      <w:r w:rsidRPr="0051154D">
        <w:rPr>
          <w:rFonts w:ascii="仿宋_GB2312" w:eastAsia="仿宋_GB2312" w:hint="eastAsia"/>
          <w:sz w:val="32"/>
          <w:szCs w:val="32"/>
        </w:rPr>
        <w:t>，来华留学生</w:t>
      </w:r>
      <w:r w:rsidR="00DD5763">
        <w:rPr>
          <w:rFonts w:ascii="仿宋_GB2312" w:eastAsia="仿宋_GB2312" w:hint="eastAsia"/>
          <w:sz w:val="32"/>
          <w:szCs w:val="32"/>
        </w:rPr>
        <w:t>31</w:t>
      </w:r>
      <w:r w:rsidRPr="0051154D">
        <w:rPr>
          <w:rFonts w:ascii="仿宋_GB2312" w:eastAsia="仿宋_GB2312" w:hint="eastAsia"/>
          <w:sz w:val="32"/>
          <w:szCs w:val="32"/>
        </w:rPr>
        <w:t>人</w:t>
      </w:r>
      <w:r w:rsidR="00F8382E">
        <w:rPr>
          <w:rFonts w:ascii="仿宋_GB2312" w:eastAsia="仿宋_GB2312" w:hint="eastAsia"/>
          <w:sz w:val="32"/>
          <w:szCs w:val="32"/>
        </w:rPr>
        <w:t>。</w:t>
      </w:r>
    </w:p>
    <w:p w:rsidR="00DD5763" w:rsidRDefault="00DD5763" w:rsidP="00DD5763">
      <w:pPr>
        <w:rPr>
          <w:rFonts w:ascii="仿宋_GB2312" w:eastAsia="仿宋_GB2312"/>
          <w:sz w:val="32"/>
          <w:szCs w:val="32"/>
        </w:rPr>
      </w:pPr>
      <w:r w:rsidRPr="0051154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2016</w:t>
      </w:r>
      <w:r w:rsidRPr="0051154D">
        <w:rPr>
          <w:rFonts w:ascii="仿宋_GB2312" w:eastAsia="仿宋_GB2312" w:hint="eastAsia"/>
          <w:sz w:val="32"/>
          <w:szCs w:val="32"/>
        </w:rPr>
        <w:t>年折合标准生人数</w:t>
      </w:r>
      <w:r>
        <w:rPr>
          <w:rFonts w:ascii="仿宋_GB2312" w:eastAsia="仿宋_GB2312" w:hint="eastAsia"/>
          <w:sz w:val="32"/>
          <w:szCs w:val="32"/>
        </w:rPr>
        <w:t>37619</w:t>
      </w:r>
      <w:r w:rsidRPr="0051154D">
        <w:rPr>
          <w:rFonts w:ascii="仿宋_GB2312" w:eastAsia="仿宋_GB2312" w:hint="eastAsia"/>
          <w:sz w:val="32"/>
          <w:szCs w:val="32"/>
        </w:rPr>
        <w:t>人，其中：</w:t>
      </w:r>
      <w:r>
        <w:rPr>
          <w:rFonts w:ascii="仿宋_GB2312" w:eastAsia="仿宋_GB2312" w:hint="eastAsia"/>
          <w:sz w:val="32"/>
          <w:szCs w:val="32"/>
        </w:rPr>
        <w:t>全日制博士生157人，</w:t>
      </w:r>
      <w:r w:rsidRPr="0051154D">
        <w:rPr>
          <w:rFonts w:ascii="仿宋_GB2312" w:eastAsia="仿宋_GB2312" w:hint="eastAsia"/>
          <w:sz w:val="32"/>
          <w:szCs w:val="32"/>
        </w:rPr>
        <w:t>全日制硕士生</w:t>
      </w:r>
      <w:r>
        <w:rPr>
          <w:rFonts w:ascii="仿宋_GB2312" w:eastAsia="仿宋_GB2312" w:hint="eastAsia"/>
          <w:sz w:val="32"/>
          <w:szCs w:val="32"/>
        </w:rPr>
        <w:t>2193</w:t>
      </w:r>
      <w:r w:rsidRPr="0051154D">
        <w:rPr>
          <w:rFonts w:ascii="仿宋_GB2312" w:eastAsia="仿宋_GB2312" w:hint="eastAsia"/>
          <w:sz w:val="32"/>
          <w:szCs w:val="32"/>
        </w:rPr>
        <w:t>人，全日制本科生</w:t>
      </w:r>
      <w:r>
        <w:rPr>
          <w:rFonts w:ascii="仿宋_GB2312" w:eastAsia="仿宋_GB2312" w:hint="eastAsia"/>
          <w:sz w:val="32"/>
          <w:szCs w:val="32"/>
        </w:rPr>
        <w:t>30610</w:t>
      </w:r>
      <w:r w:rsidRPr="0051154D"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第二学士学位学生294人，</w:t>
      </w:r>
      <w:r w:rsidRPr="0051154D">
        <w:rPr>
          <w:rFonts w:ascii="仿宋_GB2312" w:eastAsia="仿宋_GB2312" w:hint="eastAsia"/>
          <w:sz w:val="32"/>
          <w:szCs w:val="32"/>
        </w:rPr>
        <w:t>全日制专科生</w:t>
      </w:r>
      <w:r>
        <w:rPr>
          <w:rFonts w:ascii="仿宋_GB2312" w:eastAsia="仿宋_GB2312" w:hint="eastAsia"/>
          <w:sz w:val="32"/>
          <w:szCs w:val="32"/>
        </w:rPr>
        <w:t>1574</w:t>
      </w:r>
      <w:r w:rsidRPr="0051154D"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高等职业技术教育学生</w:t>
      </w:r>
      <w:r w:rsidR="0094541B">
        <w:rPr>
          <w:rFonts w:ascii="仿宋_GB2312" w:eastAsia="仿宋_GB2312" w:hint="eastAsia"/>
          <w:sz w:val="32"/>
          <w:szCs w:val="32"/>
        </w:rPr>
        <w:t>1553</w:t>
      </w:r>
      <w:r>
        <w:rPr>
          <w:rFonts w:ascii="仿宋_GB2312" w:eastAsia="仿宋_GB2312" w:hint="eastAsia"/>
          <w:sz w:val="32"/>
          <w:szCs w:val="32"/>
        </w:rPr>
        <w:t>人</w:t>
      </w:r>
      <w:r w:rsidRPr="0051154D">
        <w:rPr>
          <w:rFonts w:ascii="仿宋_GB2312" w:eastAsia="仿宋_GB2312" w:hint="eastAsia"/>
          <w:sz w:val="32"/>
          <w:szCs w:val="32"/>
        </w:rPr>
        <w:t>，同等学历攻读硕士学位人员</w:t>
      </w:r>
      <w:r w:rsidR="0094541B">
        <w:rPr>
          <w:rFonts w:ascii="仿宋_GB2312" w:eastAsia="仿宋_GB2312" w:hint="eastAsia"/>
          <w:sz w:val="32"/>
          <w:szCs w:val="32"/>
        </w:rPr>
        <w:t>1214</w:t>
      </w:r>
      <w:r>
        <w:rPr>
          <w:rFonts w:ascii="仿宋_GB2312" w:eastAsia="仿宋_GB2312" w:hint="eastAsia"/>
          <w:sz w:val="32"/>
          <w:szCs w:val="32"/>
        </w:rPr>
        <w:t>人</w:t>
      </w:r>
      <w:r w:rsidRPr="0051154D">
        <w:rPr>
          <w:rFonts w:ascii="仿宋_GB2312" w:eastAsia="仿宋_GB2312" w:hint="eastAsia"/>
          <w:sz w:val="32"/>
          <w:szCs w:val="32"/>
        </w:rPr>
        <w:t>，来华留学生</w:t>
      </w:r>
      <w:r w:rsidR="0094541B">
        <w:rPr>
          <w:rFonts w:ascii="仿宋_GB2312" w:eastAsia="仿宋_GB2312" w:hint="eastAsia"/>
          <w:sz w:val="32"/>
          <w:szCs w:val="32"/>
        </w:rPr>
        <w:t>24</w:t>
      </w:r>
      <w:r w:rsidRPr="0051154D">
        <w:rPr>
          <w:rFonts w:ascii="仿宋_GB2312" w:eastAsia="仿宋_GB2312" w:hint="eastAsia"/>
          <w:sz w:val="32"/>
          <w:szCs w:val="32"/>
        </w:rPr>
        <w:t>人</w:t>
      </w:r>
      <w:r w:rsidR="00F8382E">
        <w:rPr>
          <w:rFonts w:ascii="仿宋_GB2312" w:eastAsia="仿宋_GB2312" w:hint="eastAsia"/>
          <w:sz w:val="32"/>
          <w:szCs w:val="32"/>
        </w:rPr>
        <w:t>。</w:t>
      </w:r>
    </w:p>
    <w:p w:rsidR="003D4C74" w:rsidRDefault="0094541B" w:rsidP="006D231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 w:rsidRPr="0051154D">
        <w:rPr>
          <w:rFonts w:ascii="仿宋_GB2312" w:eastAsia="仿宋_GB2312" w:hint="eastAsia"/>
          <w:sz w:val="32"/>
          <w:szCs w:val="32"/>
        </w:rPr>
        <w:t>年折合标准生人数</w:t>
      </w:r>
      <w:r>
        <w:rPr>
          <w:rFonts w:ascii="仿宋_GB2312" w:eastAsia="仿宋_GB2312" w:hint="eastAsia"/>
          <w:sz w:val="32"/>
          <w:szCs w:val="32"/>
        </w:rPr>
        <w:t>38529</w:t>
      </w:r>
      <w:r w:rsidRPr="0051154D">
        <w:rPr>
          <w:rFonts w:ascii="仿宋_GB2312" w:eastAsia="仿宋_GB2312" w:hint="eastAsia"/>
          <w:sz w:val="32"/>
          <w:szCs w:val="32"/>
        </w:rPr>
        <w:t>人，其中：</w:t>
      </w:r>
      <w:r>
        <w:rPr>
          <w:rFonts w:ascii="仿宋_GB2312" w:eastAsia="仿宋_GB2312" w:hint="eastAsia"/>
          <w:sz w:val="32"/>
          <w:szCs w:val="32"/>
        </w:rPr>
        <w:t>全日制博士生169人，</w:t>
      </w:r>
      <w:r w:rsidRPr="0051154D">
        <w:rPr>
          <w:rFonts w:ascii="仿宋_GB2312" w:eastAsia="仿宋_GB2312" w:hint="eastAsia"/>
          <w:sz w:val="32"/>
          <w:szCs w:val="32"/>
        </w:rPr>
        <w:t>全日制硕士生</w:t>
      </w:r>
      <w:r>
        <w:rPr>
          <w:rFonts w:ascii="仿宋_GB2312" w:eastAsia="仿宋_GB2312" w:hint="eastAsia"/>
          <w:sz w:val="32"/>
          <w:szCs w:val="32"/>
        </w:rPr>
        <w:t>2337</w:t>
      </w:r>
      <w:r w:rsidRPr="0051154D">
        <w:rPr>
          <w:rFonts w:ascii="仿宋_GB2312" w:eastAsia="仿宋_GB2312" w:hint="eastAsia"/>
          <w:sz w:val="32"/>
          <w:szCs w:val="32"/>
        </w:rPr>
        <w:t>人，全日制本科生</w:t>
      </w:r>
      <w:r>
        <w:rPr>
          <w:rFonts w:ascii="仿宋_GB2312" w:eastAsia="仿宋_GB2312" w:hint="eastAsia"/>
          <w:sz w:val="32"/>
          <w:szCs w:val="32"/>
        </w:rPr>
        <w:t>32000</w:t>
      </w:r>
      <w:r w:rsidRPr="0051154D"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第二学士学位学生267人，</w:t>
      </w:r>
      <w:r w:rsidRPr="0051154D">
        <w:rPr>
          <w:rFonts w:ascii="仿宋_GB2312" w:eastAsia="仿宋_GB2312" w:hint="eastAsia"/>
          <w:sz w:val="32"/>
          <w:szCs w:val="32"/>
        </w:rPr>
        <w:t>全日制专科生</w:t>
      </w:r>
      <w:r w:rsidR="00902B01">
        <w:rPr>
          <w:rFonts w:ascii="仿宋_GB2312" w:eastAsia="仿宋_GB2312" w:hint="eastAsia"/>
          <w:sz w:val="32"/>
          <w:szCs w:val="32"/>
        </w:rPr>
        <w:t>1821</w:t>
      </w:r>
      <w:r w:rsidRPr="0051154D"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高等职业技术教育学生</w:t>
      </w:r>
      <w:r w:rsidR="00902B01">
        <w:rPr>
          <w:rFonts w:ascii="仿宋_GB2312" w:eastAsia="仿宋_GB2312" w:hint="eastAsia"/>
          <w:sz w:val="32"/>
          <w:szCs w:val="32"/>
        </w:rPr>
        <w:t>766</w:t>
      </w:r>
      <w:r>
        <w:rPr>
          <w:rFonts w:ascii="仿宋_GB2312" w:eastAsia="仿宋_GB2312" w:hint="eastAsia"/>
          <w:sz w:val="32"/>
          <w:szCs w:val="32"/>
        </w:rPr>
        <w:t>人</w:t>
      </w:r>
      <w:r w:rsidRPr="0051154D">
        <w:rPr>
          <w:rFonts w:ascii="仿宋_GB2312" w:eastAsia="仿宋_GB2312" w:hint="eastAsia"/>
          <w:sz w:val="32"/>
          <w:szCs w:val="32"/>
        </w:rPr>
        <w:t>，同等学历攻读硕士学位人员</w:t>
      </w:r>
      <w:r w:rsidR="00902B01">
        <w:rPr>
          <w:rFonts w:ascii="仿宋_GB2312" w:eastAsia="仿宋_GB2312" w:hint="eastAsia"/>
          <w:sz w:val="32"/>
          <w:szCs w:val="32"/>
        </w:rPr>
        <w:t>1115</w:t>
      </w:r>
      <w:r>
        <w:rPr>
          <w:rFonts w:ascii="仿宋_GB2312" w:eastAsia="仿宋_GB2312" w:hint="eastAsia"/>
          <w:sz w:val="32"/>
          <w:szCs w:val="32"/>
        </w:rPr>
        <w:t>人</w:t>
      </w:r>
      <w:r w:rsidRPr="0051154D">
        <w:rPr>
          <w:rFonts w:ascii="仿宋_GB2312" w:eastAsia="仿宋_GB2312" w:hint="eastAsia"/>
          <w:sz w:val="32"/>
          <w:szCs w:val="32"/>
        </w:rPr>
        <w:t>，来华留学生</w:t>
      </w:r>
      <w:r w:rsidR="00902B01">
        <w:rPr>
          <w:rFonts w:ascii="仿宋_GB2312" w:eastAsia="仿宋_GB2312" w:hint="eastAsia"/>
          <w:sz w:val="32"/>
          <w:szCs w:val="32"/>
        </w:rPr>
        <w:t>54</w:t>
      </w:r>
      <w:r w:rsidRPr="0051154D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2313" w:rsidRPr="006D2313" w:rsidRDefault="006D2313" w:rsidP="006D2313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D2313">
        <w:rPr>
          <w:rFonts w:ascii="黑体" w:eastAsia="黑体" w:hAnsi="黑体"/>
          <w:bCs/>
          <w:sz w:val="32"/>
          <w:szCs w:val="32"/>
        </w:rPr>
        <w:lastRenderedPageBreak/>
        <w:t>二、财务情况</w:t>
      </w:r>
    </w:p>
    <w:p w:rsidR="006D2313" w:rsidRPr="00D97A79" w:rsidRDefault="006D2313" w:rsidP="00D97A79">
      <w:pPr>
        <w:ind w:firstLineChars="150" w:firstLine="482"/>
        <w:rPr>
          <w:rFonts w:ascii="楷体_GB2312" w:eastAsia="楷体_GB2312"/>
          <w:b/>
          <w:sz w:val="32"/>
          <w:szCs w:val="32"/>
        </w:rPr>
      </w:pPr>
      <w:r w:rsidRPr="006D2313">
        <w:rPr>
          <w:rFonts w:ascii="楷体_GB2312" w:eastAsia="楷体_GB2312"/>
          <w:b/>
          <w:sz w:val="32"/>
          <w:szCs w:val="32"/>
        </w:rPr>
        <w:t>（一）收入情况</w:t>
      </w:r>
    </w:p>
    <w:p w:rsidR="006D2313" w:rsidRDefault="006D2313" w:rsidP="006D2313">
      <w:pPr>
        <w:ind w:firstLine="645"/>
        <w:rPr>
          <w:rFonts w:ascii="仿宋_GB2312" w:eastAsia="仿宋_GB2312"/>
          <w:sz w:val="32"/>
          <w:szCs w:val="32"/>
        </w:rPr>
      </w:pPr>
      <w:r w:rsidRPr="006D2313">
        <w:rPr>
          <w:rFonts w:ascii="仿宋_GB2312" w:eastAsia="仿宋_GB2312"/>
          <w:sz w:val="32"/>
          <w:szCs w:val="32"/>
        </w:rPr>
        <w:t>2015年总收入129602.18万元，其中</w:t>
      </w:r>
      <w:r w:rsidR="00F8382E">
        <w:rPr>
          <w:rFonts w:ascii="仿宋_GB2312" w:eastAsia="仿宋_GB2312" w:hint="eastAsia"/>
          <w:sz w:val="32"/>
          <w:szCs w:val="32"/>
        </w:rPr>
        <w:t>：</w:t>
      </w:r>
      <w:r w:rsidRPr="006D2313">
        <w:rPr>
          <w:rFonts w:ascii="仿宋_GB2312" w:eastAsia="仿宋_GB2312"/>
          <w:sz w:val="32"/>
          <w:szCs w:val="32"/>
        </w:rPr>
        <w:t>财政补助收入90951.21万元，事业收入25419.55万元，其它收入11472.64万元</w:t>
      </w:r>
      <w:r w:rsidR="00F8382E">
        <w:rPr>
          <w:rFonts w:ascii="仿宋_GB2312" w:eastAsia="仿宋_GB2312" w:hint="eastAsia"/>
          <w:sz w:val="32"/>
          <w:szCs w:val="32"/>
        </w:rPr>
        <w:t>。</w:t>
      </w:r>
    </w:p>
    <w:p w:rsidR="006D2313" w:rsidRDefault="006D2313" w:rsidP="006D2313">
      <w:pPr>
        <w:ind w:firstLine="645"/>
        <w:rPr>
          <w:rFonts w:ascii="仿宋_GB2312" w:eastAsia="仿宋_GB2312"/>
          <w:sz w:val="32"/>
          <w:szCs w:val="32"/>
        </w:rPr>
      </w:pPr>
      <w:r w:rsidRPr="006D2313">
        <w:rPr>
          <w:rFonts w:ascii="仿宋_GB2312" w:eastAsia="仿宋_GB2312"/>
          <w:sz w:val="32"/>
          <w:szCs w:val="32"/>
        </w:rPr>
        <w:t>2016年总收入101120.06万元，其中</w:t>
      </w:r>
      <w:r w:rsidR="00F8382E">
        <w:rPr>
          <w:rFonts w:ascii="仿宋_GB2312" w:eastAsia="仿宋_GB2312" w:hint="eastAsia"/>
          <w:sz w:val="32"/>
          <w:szCs w:val="32"/>
        </w:rPr>
        <w:t>：</w:t>
      </w:r>
      <w:r w:rsidRPr="006D2313">
        <w:rPr>
          <w:rFonts w:ascii="仿宋_GB2312" w:eastAsia="仿宋_GB2312"/>
          <w:sz w:val="32"/>
          <w:szCs w:val="32"/>
        </w:rPr>
        <w:t>财政补助收入68433.86万元，事业收入24883.46万元，其它收入5567.06万元</w:t>
      </w:r>
      <w:r w:rsidR="00F8382E">
        <w:rPr>
          <w:rFonts w:ascii="仿宋_GB2312" w:eastAsia="仿宋_GB2312" w:hint="eastAsia"/>
          <w:sz w:val="32"/>
          <w:szCs w:val="32"/>
        </w:rPr>
        <w:t>。</w:t>
      </w:r>
    </w:p>
    <w:p w:rsidR="006D2313" w:rsidRDefault="006D2313" w:rsidP="006D2313">
      <w:pPr>
        <w:ind w:firstLine="645"/>
        <w:rPr>
          <w:rFonts w:ascii="仿宋_GB2312" w:eastAsia="仿宋_GB2312"/>
          <w:sz w:val="32"/>
          <w:szCs w:val="32"/>
        </w:rPr>
      </w:pPr>
      <w:r w:rsidRPr="006D2313">
        <w:rPr>
          <w:rFonts w:ascii="仿宋_GB2312" w:eastAsia="仿宋_GB2312"/>
          <w:sz w:val="32"/>
          <w:szCs w:val="32"/>
        </w:rPr>
        <w:t>2017年总收入110366.85万元，其中</w:t>
      </w:r>
      <w:r w:rsidR="00F8382E">
        <w:rPr>
          <w:rFonts w:ascii="仿宋_GB2312" w:eastAsia="仿宋_GB2312" w:hint="eastAsia"/>
          <w:sz w:val="32"/>
          <w:szCs w:val="32"/>
        </w:rPr>
        <w:t>：</w:t>
      </w:r>
      <w:r w:rsidRPr="006D2313">
        <w:rPr>
          <w:rFonts w:ascii="仿宋_GB2312" w:eastAsia="仿宋_GB2312"/>
          <w:sz w:val="32"/>
          <w:szCs w:val="32"/>
        </w:rPr>
        <w:t>财政补助收入68184.26万元，事业收入28860.96万元，其它收入5486.99万元。</w:t>
      </w:r>
    </w:p>
    <w:p w:rsidR="006D2313" w:rsidRPr="00D97A79" w:rsidRDefault="006D2313" w:rsidP="00D97A79">
      <w:pPr>
        <w:ind w:firstLineChars="150" w:firstLine="482"/>
        <w:rPr>
          <w:rFonts w:ascii="楷体_GB2312" w:eastAsia="楷体_GB2312"/>
          <w:b/>
          <w:sz w:val="32"/>
          <w:szCs w:val="32"/>
        </w:rPr>
      </w:pPr>
      <w:r w:rsidRPr="006D2313">
        <w:rPr>
          <w:rFonts w:ascii="楷体_GB2312" w:eastAsia="楷体_GB2312"/>
          <w:b/>
          <w:sz w:val="32"/>
          <w:szCs w:val="32"/>
        </w:rPr>
        <w:t>（二）支出情况</w:t>
      </w:r>
    </w:p>
    <w:p w:rsidR="006D2313" w:rsidRDefault="006D2313" w:rsidP="006D2313">
      <w:pPr>
        <w:ind w:firstLine="645"/>
        <w:rPr>
          <w:rFonts w:ascii="仿宋_GB2312" w:eastAsia="仿宋_GB2312"/>
          <w:sz w:val="32"/>
          <w:szCs w:val="32"/>
        </w:rPr>
      </w:pPr>
      <w:r w:rsidRPr="006D2313">
        <w:rPr>
          <w:rFonts w:ascii="仿宋_GB2312" w:eastAsia="仿宋_GB2312"/>
          <w:sz w:val="32"/>
          <w:szCs w:val="32"/>
        </w:rPr>
        <w:t>2015年总支出124280.68万元，其中</w:t>
      </w:r>
      <w:r w:rsidR="00F8382E">
        <w:rPr>
          <w:rFonts w:ascii="仿宋_GB2312" w:eastAsia="仿宋_GB2312" w:hint="eastAsia"/>
          <w:sz w:val="32"/>
          <w:szCs w:val="32"/>
        </w:rPr>
        <w:t>：</w:t>
      </w:r>
      <w:r w:rsidRPr="006D2313">
        <w:rPr>
          <w:rFonts w:ascii="仿宋_GB2312" w:eastAsia="仿宋_GB2312"/>
          <w:sz w:val="32"/>
          <w:szCs w:val="32"/>
        </w:rPr>
        <w:t>工资福利支出32955.62万元，商品和服务支出26641.20万元，对个人和家庭补助支出18412.59万元，基本建设支出和其它资本性支出42239.72万元，利息支出4026.49万元</w:t>
      </w:r>
      <w:r w:rsidR="006A602E">
        <w:rPr>
          <w:rFonts w:ascii="仿宋_GB2312" w:eastAsia="仿宋_GB2312" w:hint="eastAsia"/>
          <w:sz w:val="32"/>
          <w:szCs w:val="32"/>
        </w:rPr>
        <w:t>；</w:t>
      </w:r>
    </w:p>
    <w:p w:rsidR="006D2313" w:rsidRDefault="006D2313" w:rsidP="006D2313">
      <w:pPr>
        <w:ind w:firstLine="645"/>
        <w:rPr>
          <w:rFonts w:ascii="仿宋_GB2312" w:eastAsia="仿宋_GB2312"/>
          <w:sz w:val="32"/>
          <w:szCs w:val="32"/>
        </w:rPr>
      </w:pPr>
      <w:r w:rsidRPr="006D2313">
        <w:rPr>
          <w:rFonts w:ascii="仿宋_GB2312" w:eastAsia="仿宋_GB2312"/>
          <w:sz w:val="32"/>
          <w:szCs w:val="32"/>
        </w:rPr>
        <w:t>2016年总支出97667.75万元，其中</w:t>
      </w:r>
      <w:r w:rsidR="00F8382E">
        <w:rPr>
          <w:rFonts w:ascii="仿宋_GB2312" w:eastAsia="仿宋_GB2312" w:hint="eastAsia"/>
          <w:sz w:val="32"/>
          <w:szCs w:val="32"/>
        </w:rPr>
        <w:t>：</w:t>
      </w:r>
      <w:r w:rsidRPr="006D2313">
        <w:rPr>
          <w:rFonts w:ascii="仿宋_GB2312" w:eastAsia="仿宋_GB2312"/>
          <w:sz w:val="32"/>
          <w:szCs w:val="32"/>
        </w:rPr>
        <w:t>工资福利支出35583.64万元，商品和服务支出27701.45万元，对个人和家庭补助支出17310.79万元，基本建设支出和其它资本性支出14673.24万元，利息支出2396.49万元</w:t>
      </w:r>
      <w:r w:rsidR="006A602E">
        <w:rPr>
          <w:rFonts w:ascii="仿宋_GB2312" w:eastAsia="仿宋_GB2312" w:hint="eastAsia"/>
          <w:sz w:val="32"/>
          <w:szCs w:val="32"/>
        </w:rPr>
        <w:t>；</w:t>
      </w:r>
    </w:p>
    <w:p w:rsidR="006D2313" w:rsidRPr="0051154D" w:rsidRDefault="006D2313" w:rsidP="006D2313">
      <w:pPr>
        <w:ind w:firstLine="645"/>
        <w:rPr>
          <w:rFonts w:ascii="仿宋_GB2312" w:eastAsia="仿宋_GB2312"/>
          <w:sz w:val="32"/>
          <w:szCs w:val="32"/>
        </w:rPr>
      </w:pPr>
      <w:r w:rsidRPr="006D2313">
        <w:rPr>
          <w:rFonts w:ascii="仿宋_GB2312" w:eastAsia="仿宋_GB2312"/>
          <w:sz w:val="32"/>
          <w:szCs w:val="32"/>
        </w:rPr>
        <w:t>2017年总支出110062.09万元，其中</w:t>
      </w:r>
      <w:r w:rsidR="00F8382E">
        <w:rPr>
          <w:rFonts w:ascii="仿宋_GB2312" w:eastAsia="仿宋_GB2312" w:hint="eastAsia"/>
          <w:sz w:val="32"/>
          <w:szCs w:val="32"/>
        </w:rPr>
        <w:t>：</w:t>
      </w:r>
      <w:r w:rsidRPr="006D2313">
        <w:rPr>
          <w:rFonts w:ascii="仿宋_GB2312" w:eastAsia="仿宋_GB2312"/>
          <w:sz w:val="32"/>
          <w:szCs w:val="32"/>
        </w:rPr>
        <w:t>工资福利支出40908.35万元，商品和服务支出30732.41万元，对个人和</w:t>
      </w:r>
      <w:r w:rsidRPr="006D2313">
        <w:rPr>
          <w:rFonts w:ascii="仿宋_GB2312" w:eastAsia="仿宋_GB2312"/>
          <w:sz w:val="32"/>
          <w:szCs w:val="32"/>
        </w:rPr>
        <w:lastRenderedPageBreak/>
        <w:t>家庭补助支出16778.32万元，基本建设支出和其它资本性支出19692.26万元，利息支出1900.75万元。</w:t>
      </w:r>
    </w:p>
    <w:p w:rsidR="00751709" w:rsidRPr="00B24A16" w:rsidRDefault="00751709" w:rsidP="00751709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 xml:space="preserve">    </w:t>
      </w:r>
      <w:r w:rsidRPr="00B24A16">
        <w:rPr>
          <w:rFonts w:ascii="黑体" w:eastAsia="黑体" w:hAnsi="黑体" w:hint="eastAsia"/>
          <w:bCs/>
          <w:sz w:val="32"/>
          <w:szCs w:val="32"/>
        </w:rPr>
        <w:t>三、教育培养成本情况</w:t>
      </w:r>
    </w:p>
    <w:p w:rsidR="00751709" w:rsidRPr="00751709" w:rsidRDefault="00751709" w:rsidP="00751709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  <w:r w:rsidRPr="00751709">
        <w:rPr>
          <w:rFonts w:ascii="仿宋_GB2312" w:eastAsia="仿宋_GB2312" w:hAnsi="Calibri" w:cs="Times New Roman" w:hint="eastAsia"/>
          <w:sz w:val="32"/>
          <w:szCs w:val="32"/>
        </w:rPr>
        <w:t>根据经费统计，我校2015—2017年高校教育培养成本和生均培养成本如下</w:t>
      </w:r>
      <w:r w:rsidR="0084056C">
        <w:rPr>
          <w:rFonts w:ascii="仿宋_GB2312" w:eastAsia="仿宋_GB2312" w:hAnsi="Calibri" w:cs="Times New Roman" w:hint="eastAsia"/>
          <w:sz w:val="32"/>
          <w:szCs w:val="32"/>
        </w:rPr>
        <w:t>：</w:t>
      </w:r>
    </w:p>
    <w:p w:rsidR="009272FE" w:rsidRDefault="00751709" w:rsidP="009272FE">
      <w:pPr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751709">
        <w:rPr>
          <w:rFonts w:ascii="仿宋_GB2312" w:eastAsia="仿宋_GB2312" w:hAnsi="Calibri" w:cs="Times New Roman" w:hint="eastAsia"/>
          <w:sz w:val="32"/>
          <w:szCs w:val="32"/>
        </w:rPr>
        <w:t>（一）2015—2017年高校教育培养成本总成本分别为</w:t>
      </w:r>
      <w:r w:rsidR="003E5E1D">
        <w:rPr>
          <w:rFonts w:ascii="仿宋_GB2312" w:eastAsia="仿宋_GB2312" w:hAnsi="Calibri" w:cs="Times New Roman" w:hint="eastAsia"/>
          <w:sz w:val="32"/>
          <w:szCs w:val="32"/>
        </w:rPr>
        <w:t>：1</w:t>
      </w:r>
      <w:r w:rsidR="0056013A">
        <w:rPr>
          <w:rFonts w:ascii="仿宋_GB2312" w:eastAsia="仿宋_GB2312" w:hAnsi="Calibri" w:cs="Times New Roman" w:hint="eastAsia"/>
          <w:sz w:val="32"/>
          <w:szCs w:val="32"/>
        </w:rPr>
        <w:t>03185.98</w:t>
      </w:r>
      <w:r w:rsidRPr="00751709">
        <w:rPr>
          <w:rFonts w:ascii="仿宋_GB2312" w:eastAsia="仿宋_GB2312" w:hAnsi="Calibri" w:cs="Times New Roman" w:hint="eastAsia"/>
          <w:sz w:val="32"/>
          <w:szCs w:val="32"/>
        </w:rPr>
        <w:t>万元、</w:t>
      </w:r>
      <w:r w:rsidR="0056013A">
        <w:rPr>
          <w:rFonts w:ascii="仿宋_GB2312" w:eastAsia="仿宋_GB2312" w:hAnsi="Calibri" w:cs="Times New Roman" w:hint="eastAsia"/>
          <w:sz w:val="32"/>
          <w:szCs w:val="32"/>
        </w:rPr>
        <w:t>105123.34</w:t>
      </w:r>
      <w:r w:rsidRPr="00751709">
        <w:rPr>
          <w:rFonts w:ascii="仿宋_GB2312" w:eastAsia="仿宋_GB2312" w:hAnsi="Calibri" w:cs="Times New Roman" w:hint="eastAsia"/>
          <w:sz w:val="32"/>
          <w:szCs w:val="32"/>
        </w:rPr>
        <w:t>万元、</w:t>
      </w:r>
      <w:r w:rsidR="0056013A">
        <w:rPr>
          <w:rFonts w:ascii="仿宋_GB2312" w:eastAsia="仿宋_GB2312" w:hAnsi="Calibri" w:cs="Times New Roman" w:hint="eastAsia"/>
          <w:sz w:val="32"/>
          <w:szCs w:val="32"/>
        </w:rPr>
        <w:t>114169.18</w:t>
      </w:r>
      <w:r w:rsidRPr="00751709">
        <w:rPr>
          <w:rFonts w:ascii="仿宋_GB2312" w:eastAsia="仿宋_GB2312" w:hAnsi="Calibri" w:cs="Times New Roman" w:hint="eastAsia"/>
          <w:sz w:val="32"/>
          <w:szCs w:val="32"/>
        </w:rPr>
        <w:t>万元。其中</w:t>
      </w:r>
      <w:r w:rsidR="00F8382E">
        <w:rPr>
          <w:rFonts w:ascii="仿宋_GB2312" w:eastAsia="仿宋_GB2312" w:hint="eastAsia"/>
          <w:sz w:val="32"/>
          <w:szCs w:val="32"/>
        </w:rPr>
        <w:t>，</w:t>
      </w:r>
      <w:r w:rsidR="003E5E1D">
        <w:rPr>
          <w:rFonts w:ascii="仿宋_GB2312" w:eastAsia="仿宋_GB2312" w:hAnsi="Calibri" w:cs="Times New Roman" w:hint="eastAsia"/>
          <w:sz w:val="32"/>
          <w:szCs w:val="32"/>
        </w:rPr>
        <w:t>使用财政拨款及上级补助支出额分别为：55472.27</w:t>
      </w:r>
      <w:r w:rsidR="00FE4BB5">
        <w:rPr>
          <w:rFonts w:ascii="仿宋_GB2312" w:eastAsia="仿宋_GB2312" w:hAnsi="Calibri" w:cs="Times New Roman" w:hint="eastAsia"/>
          <w:sz w:val="32"/>
          <w:szCs w:val="32"/>
        </w:rPr>
        <w:t>万元、56830.62万元，61102.78万元</w:t>
      </w:r>
      <w:r w:rsidR="00241EB8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:rsidR="001655A1" w:rsidRDefault="009272FE" w:rsidP="001655A1">
      <w:pPr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751709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F8382E">
        <w:rPr>
          <w:rFonts w:ascii="仿宋_GB2312" w:eastAsia="仿宋_GB2312" w:hAnsi="Calibri" w:cs="Times New Roman" w:hint="eastAsia"/>
          <w:sz w:val="32"/>
          <w:szCs w:val="32"/>
        </w:rPr>
        <w:t>二</w:t>
      </w:r>
      <w:r w:rsidRPr="00751709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3E5E1D">
        <w:rPr>
          <w:rFonts w:ascii="仿宋_GB2312" w:eastAsia="仿宋_GB2312" w:hAnsi="Calibri" w:cs="Times New Roman" w:hint="eastAsia"/>
          <w:sz w:val="32"/>
          <w:szCs w:val="32"/>
        </w:rPr>
        <w:t>我校</w:t>
      </w:r>
      <w:r w:rsidR="00751709" w:rsidRPr="00751709">
        <w:rPr>
          <w:rFonts w:ascii="仿宋_GB2312" w:eastAsia="仿宋_GB2312" w:hAnsi="Calibri" w:cs="Times New Roman" w:hint="eastAsia"/>
          <w:sz w:val="32"/>
          <w:szCs w:val="32"/>
        </w:rPr>
        <w:t>生均</w:t>
      </w:r>
      <w:r w:rsidR="003E5E1D">
        <w:rPr>
          <w:rFonts w:ascii="仿宋_GB2312" w:eastAsia="仿宋_GB2312" w:hAnsi="Calibri" w:cs="Times New Roman" w:hint="eastAsia"/>
          <w:sz w:val="32"/>
          <w:szCs w:val="32"/>
        </w:rPr>
        <w:t>教育</w:t>
      </w:r>
      <w:r w:rsidR="00751709" w:rsidRPr="00751709">
        <w:rPr>
          <w:rFonts w:ascii="仿宋_GB2312" w:eastAsia="仿宋_GB2312" w:hAnsi="Calibri" w:cs="Times New Roman" w:hint="eastAsia"/>
          <w:sz w:val="32"/>
          <w:szCs w:val="32"/>
        </w:rPr>
        <w:t>培养成本分别为：2015年为</w:t>
      </w:r>
      <w:r w:rsidR="003242E3">
        <w:rPr>
          <w:rFonts w:ascii="仿宋_GB2312" w:eastAsia="仿宋_GB2312" w:hAnsi="Calibri" w:cs="Times New Roman" w:hint="eastAsia"/>
          <w:sz w:val="32"/>
          <w:szCs w:val="32"/>
        </w:rPr>
        <w:t>26117.74</w:t>
      </w:r>
      <w:r w:rsidR="00751709" w:rsidRPr="00751709">
        <w:rPr>
          <w:rFonts w:ascii="仿宋_GB2312" w:eastAsia="仿宋_GB2312" w:hAnsi="Calibri" w:cs="Times New Roman" w:hint="eastAsia"/>
          <w:sz w:val="32"/>
          <w:szCs w:val="32"/>
        </w:rPr>
        <w:t>元/生.年，2016年为</w:t>
      </w:r>
      <w:r w:rsidR="003242E3">
        <w:rPr>
          <w:rFonts w:ascii="仿宋_GB2312" w:eastAsia="仿宋_GB2312" w:hAnsi="Calibri" w:cs="Times New Roman" w:hint="eastAsia"/>
          <w:sz w:val="32"/>
          <w:szCs w:val="32"/>
        </w:rPr>
        <w:t>26473.43</w:t>
      </w:r>
      <w:r w:rsidR="00751709" w:rsidRPr="00751709">
        <w:rPr>
          <w:rFonts w:ascii="仿宋_GB2312" w:eastAsia="仿宋_GB2312" w:hAnsi="Calibri" w:cs="Times New Roman" w:hint="eastAsia"/>
          <w:sz w:val="32"/>
          <w:szCs w:val="32"/>
        </w:rPr>
        <w:t>元/生.年，2017年为</w:t>
      </w:r>
      <w:r w:rsidR="003242E3">
        <w:rPr>
          <w:rFonts w:ascii="仿宋_GB2312" w:eastAsia="仿宋_GB2312" w:hAnsi="Calibri" w:cs="Times New Roman" w:hint="eastAsia"/>
          <w:sz w:val="32"/>
          <w:szCs w:val="32"/>
        </w:rPr>
        <w:t>28229.65</w:t>
      </w:r>
      <w:r w:rsidR="00751709" w:rsidRPr="00751709">
        <w:rPr>
          <w:rFonts w:ascii="仿宋_GB2312" w:eastAsia="仿宋_GB2312" w:hAnsi="Calibri" w:cs="Times New Roman" w:hint="eastAsia"/>
          <w:sz w:val="32"/>
          <w:szCs w:val="32"/>
        </w:rPr>
        <w:t>元/生.年。</w:t>
      </w:r>
      <w:r w:rsidR="003E5E1D">
        <w:rPr>
          <w:rFonts w:ascii="仿宋_GB2312" w:eastAsia="仿宋_GB2312" w:hAnsi="Calibri" w:cs="Times New Roman" w:hint="eastAsia"/>
          <w:sz w:val="32"/>
          <w:szCs w:val="32"/>
        </w:rPr>
        <w:t>其中</w:t>
      </w:r>
      <w:r w:rsidR="00F8382E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3E5E1D">
        <w:rPr>
          <w:rFonts w:ascii="仿宋_GB2312" w:eastAsia="仿宋_GB2312" w:hAnsi="Calibri" w:cs="Times New Roman" w:hint="eastAsia"/>
          <w:sz w:val="32"/>
          <w:szCs w:val="32"/>
        </w:rPr>
        <w:t>使用财政拨款及上级补助的生均培养成本分别为：2015年14040.77元/生.年，2016年为14311.77元/生.年，2017年15108.37元/生.年。</w:t>
      </w:r>
    </w:p>
    <w:p w:rsidR="009A35E2" w:rsidRPr="009A35E2" w:rsidRDefault="009A35E2" w:rsidP="001655A1">
      <w:pPr>
        <w:ind w:firstLine="645"/>
        <w:rPr>
          <w:rFonts w:ascii="仿宋_GB2312" w:eastAsia="仿宋_GB2312" w:hAnsi="Calibri"/>
          <w:sz w:val="32"/>
          <w:szCs w:val="32"/>
        </w:rPr>
      </w:pPr>
      <w:r w:rsidRPr="006D2313">
        <w:rPr>
          <w:rFonts w:ascii="黑体" w:eastAsia="黑体" w:hAnsi="黑体" w:hint="eastAsia"/>
          <w:bCs/>
          <w:sz w:val="32"/>
          <w:szCs w:val="32"/>
        </w:rPr>
        <w:t>四、公众咨询电话</w:t>
      </w:r>
      <w:r w:rsidRPr="009A35E2">
        <w:rPr>
          <w:rFonts w:ascii="仿宋_GB2312" w:eastAsia="仿宋_GB2312" w:hAnsi="Calibri" w:hint="eastAsia"/>
          <w:sz w:val="32"/>
          <w:szCs w:val="32"/>
        </w:rPr>
        <w:t>：</w:t>
      </w:r>
      <w:r>
        <w:rPr>
          <w:rFonts w:ascii="仿宋_GB2312" w:eastAsia="仿宋_GB2312" w:hAnsi="Calibri" w:hint="eastAsia"/>
          <w:sz w:val="32"/>
          <w:szCs w:val="32"/>
        </w:rPr>
        <w:t>0391-39871</w:t>
      </w:r>
      <w:r w:rsidR="006D2313">
        <w:rPr>
          <w:rFonts w:ascii="仿宋_GB2312" w:eastAsia="仿宋_GB2312" w:hAnsi="Calibri" w:hint="eastAsia"/>
          <w:sz w:val="32"/>
          <w:szCs w:val="32"/>
        </w:rPr>
        <w:t>57</w:t>
      </w:r>
      <w:r w:rsidRPr="009A35E2">
        <w:rPr>
          <w:rFonts w:ascii="仿宋_GB2312" w:eastAsia="仿宋_GB2312" w:hAnsi="Calibri" w:hint="eastAsia"/>
          <w:sz w:val="32"/>
          <w:szCs w:val="32"/>
        </w:rPr>
        <w:t>。（公示期2019年4月29日-2019年5月29日，在此期间接受社会公众咨询）</w:t>
      </w:r>
    </w:p>
    <w:p w:rsidR="009A35E2" w:rsidRDefault="009A35E2" w:rsidP="009A35E2">
      <w:pPr>
        <w:rPr>
          <w:rFonts w:ascii="仿宋_GB2312" w:eastAsia="仿宋_GB2312" w:hAnsi="Calibri" w:cs="Times New Roman"/>
          <w:sz w:val="32"/>
          <w:szCs w:val="32"/>
        </w:rPr>
      </w:pPr>
      <w:r w:rsidRPr="009A35E2">
        <w:rPr>
          <w:rFonts w:ascii="仿宋_GB2312" w:eastAsia="仿宋_GB2312" w:hAnsi="Calibri" w:cs="Times New Roman" w:hint="eastAsia"/>
          <w:sz w:val="32"/>
          <w:szCs w:val="32"/>
        </w:rPr>
        <w:t>                                    </w:t>
      </w:r>
    </w:p>
    <w:p w:rsidR="009A35E2" w:rsidRPr="009A35E2" w:rsidRDefault="009A35E2" w:rsidP="009A35E2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</w:t>
      </w:r>
      <w:r w:rsidR="008F293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9A35E2">
        <w:rPr>
          <w:rFonts w:ascii="仿宋_GB2312" w:eastAsia="仿宋_GB2312" w:hAnsi="Calibri" w:cs="Times New Roman" w:hint="eastAsia"/>
          <w:sz w:val="32"/>
          <w:szCs w:val="32"/>
        </w:rPr>
        <w:t>河南</w:t>
      </w:r>
      <w:r>
        <w:rPr>
          <w:rFonts w:ascii="仿宋_GB2312" w:eastAsia="仿宋_GB2312" w:hAnsi="Calibri" w:cs="Times New Roman" w:hint="eastAsia"/>
          <w:sz w:val="32"/>
          <w:szCs w:val="32"/>
        </w:rPr>
        <w:t>理工</w:t>
      </w:r>
      <w:r w:rsidRPr="009A35E2">
        <w:rPr>
          <w:rFonts w:ascii="仿宋_GB2312" w:eastAsia="仿宋_GB2312" w:hAnsi="Calibri" w:cs="Times New Roman" w:hint="eastAsia"/>
          <w:sz w:val="32"/>
          <w:szCs w:val="32"/>
        </w:rPr>
        <w:t>大学</w:t>
      </w:r>
    </w:p>
    <w:p w:rsidR="009A35E2" w:rsidRPr="009A35E2" w:rsidRDefault="009A35E2" w:rsidP="009A35E2">
      <w:pPr>
        <w:rPr>
          <w:rFonts w:ascii="仿宋_GB2312" w:eastAsia="仿宋_GB2312" w:hAnsi="Calibri" w:cs="Times New Roman"/>
          <w:sz w:val="32"/>
          <w:szCs w:val="32"/>
        </w:rPr>
      </w:pPr>
      <w:r w:rsidRPr="009A35E2">
        <w:rPr>
          <w:rFonts w:ascii="仿宋_GB2312" w:eastAsia="仿宋_GB2312" w:hAnsi="Calibri" w:cs="Times New Roman" w:hint="eastAsia"/>
          <w:sz w:val="32"/>
          <w:szCs w:val="32"/>
        </w:rPr>
        <w:t>                                   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</w:t>
      </w:r>
      <w:r w:rsidRPr="009A35E2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9A35E2">
        <w:rPr>
          <w:rFonts w:ascii="仿宋_GB2312" w:eastAsia="仿宋_GB2312" w:hAnsi="Calibri" w:cs="Times New Roman" w:hint="eastAsia"/>
          <w:sz w:val="32"/>
          <w:szCs w:val="32"/>
        </w:rPr>
        <w:t> </w:t>
      </w:r>
      <w:r w:rsidRPr="009A35E2">
        <w:rPr>
          <w:rFonts w:ascii="仿宋_GB2312" w:eastAsia="仿宋_GB2312" w:hAnsi="Calibri" w:cs="Times New Roman" w:hint="eastAsia"/>
          <w:sz w:val="32"/>
          <w:szCs w:val="32"/>
        </w:rPr>
        <w:t>2019年4月29日</w:t>
      </w:r>
    </w:p>
    <w:p w:rsidR="003D4C74" w:rsidRPr="009A35E2" w:rsidRDefault="003D4C74" w:rsidP="003D4C74">
      <w:pPr>
        <w:rPr>
          <w:rFonts w:ascii="仿宋_GB2312" w:eastAsia="仿宋_GB2312" w:hAnsi="Calibri" w:cs="Times New Roman"/>
          <w:sz w:val="32"/>
          <w:szCs w:val="32"/>
        </w:rPr>
      </w:pPr>
    </w:p>
    <w:p w:rsidR="00FF4215" w:rsidRPr="003D4C74" w:rsidRDefault="00FF4215">
      <w:pPr>
        <w:rPr>
          <w:rFonts w:ascii="仿宋_GB2312" w:eastAsia="仿宋_GB2312"/>
          <w:sz w:val="32"/>
          <w:szCs w:val="32"/>
        </w:rPr>
      </w:pPr>
    </w:p>
    <w:sectPr w:rsidR="00FF4215" w:rsidRPr="003D4C74" w:rsidSect="0001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45" w:rsidRDefault="00D40F45" w:rsidP="00FF4215">
      <w:r>
        <w:separator/>
      </w:r>
    </w:p>
  </w:endnote>
  <w:endnote w:type="continuationSeparator" w:id="1">
    <w:p w:rsidR="00D40F45" w:rsidRDefault="00D40F45" w:rsidP="00FF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45" w:rsidRDefault="00D40F45" w:rsidP="00FF4215">
      <w:r>
        <w:separator/>
      </w:r>
    </w:p>
  </w:footnote>
  <w:footnote w:type="continuationSeparator" w:id="1">
    <w:p w:rsidR="00D40F45" w:rsidRDefault="00D40F45" w:rsidP="00FF4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215"/>
    <w:rsid w:val="00011A2A"/>
    <w:rsid w:val="0004263F"/>
    <w:rsid w:val="001655A1"/>
    <w:rsid w:val="00166983"/>
    <w:rsid w:val="00172DF5"/>
    <w:rsid w:val="001E6794"/>
    <w:rsid w:val="00212BEC"/>
    <w:rsid w:val="00241EB8"/>
    <w:rsid w:val="003242E3"/>
    <w:rsid w:val="003D4C74"/>
    <w:rsid w:val="003E5E1D"/>
    <w:rsid w:val="00505733"/>
    <w:rsid w:val="0051154D"/>
    <w:rsid w:val="00526439"/>
    <w:rsid w:val="00555375"/>
    <w:rsid w:val="0056013A"/>
    <w:rsid w:val="00567486"/>
    <w:rsid w:val="005F7C7E"/>
    <w:rsid w:val="006A602E"/>
    <w:rsid w:val="006D2313"/>
    <w:rsid w:val="0072322C"/>
    <w:rsid w:val="00751709"/>
    <w:rsid w:val="007747F5"/>
    <w:rsid w:val="0081355C"/>
    <w:rsid w:val="0084056C"/>
    <w:rsid w:val="008F2931"/>
    <w:rsid w:val="00902B01"/>
    <w:rsid w:val="009272FE"/>
    <w:rsid w:val="0094541B"/>
    <w:rsid w:val="009A35E2"/>
    <w:rsid w:val="009E4054"/>
    <w:rsid w:val="00B24A16"/>
    <w:rsid w:val="00D40F45"/>
    <w:rsid w:val="00D72A2D"/>
    <w:rsid w:val="00D97A79"/>
    <w:rsid w:val="00DD5763"/>
    <w:rsid w:val="00F8382E"/>
    <w:rsid w:val="00FD1AF5"/>
    <w:rsid w:val="00FE4BB5"/>
    <w:rsid w:val="00FF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2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4C7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D1A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1A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9955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5529">
                  <w:marLeft w:val="0"/>
                  <w:marRight w:val="0"/>
                  <w:marTop w:val="1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1759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9132">
                  <w:marLeft w:val="0"/>
                  <w:marRight w:val="0"/>
                  <w:marTop w:val="1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328</Words>
  <Characters>1875</Characters>
  <Application>Microsoft Office Word</Application>
  <DocSecurity>0</DocSecurity>
  <Lines>15</Lines>
  <Paragraphs>4</Paragraphs>
  <ScaleCrop>false</ScaleCrop>
  <Company>微软公司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匿名</cp:lastModifiedBy>
  <cp:revision>36</cp:revision>
  <cp:lastPrinted>2019-04-30T10:51:00Z</cp:lastPrinted>
  <dcterms:created xsi:type="dcterms:W3CDTF">2019-04-30T10:11:00Z</dcterms:created>
  <dcterms:modified xsi:type="dcterms:W3CDTF">2019-04-30T12:13:00Z</dcterms:modified>
</cp:coreProperties>
</file>